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5a4c1d0504f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1538-S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STAM</w:t>
        </w:r>
      </w:r>
      <w:r>
        <w:rPr>
          <w:b/>
        </w:rPr>
        <w:t xml:space="preserve"> </w:t>
        <w:r>
          <w:rPr/>
          <w:t xml:space="preserve">H2316.1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1538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Stambaugh</w:t>
      </w:r>
    </w:p>
    <w:p>
      <w:pPr>
        <w:jc w:val="right"/>
      </w:pPr>
      <w:r>
        <w:rPr>
          <w:b/>
        </w:rPr>
        <w:t xml:space="preserve">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25, after "</w:t>
      </w:r>
      <w:r>
        <w:rPr>
          <w:u w:val="single"/>
        </w:rPr>
        <w:t xml:space="preserve">it</w:t>
      </w:r>
      <w:r>
        <w:rPr/>
        <w:t xml:space="preserve">" insert "</w:t>
      </w:r>
      <w:r>
        <w:rPr>
          <w:u w:val="single"/>
        </w:rPr>
        <w:t xml:space="preserve">, the bond is not commercially available,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to the criteria that if a bond is not commercially available the contractor is exempted from providing a bond for the subcontractor's retainage.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68c54ce1546ca" /></Relationships>
</file>