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b6e82d3b34fd7" /></Relationships>
</file>

<file path=word/document.xml><?xml version="1.0" encoding="utf-8"?>
<w:document xmlns:w="http://schemas.openxmlformats.org/wordprocessingml/2006/main">
  <w:body>
    <w:p>
      <w:r>
        <w:rPr>
          <w:b/>
        </w:rPr>
        <w:r>
          <w:rPr/>
          <w:t xml:space="preserve">1800-S</w:t>
        </w:r>
      </w:r>
      <w:r>
        <w:rPr>
          <w:b/>
        </w:rPr>
        <w:t xml:space="preserve"> </w:t>
        <w:t xml:space="preserve">AMH</w:t>
      </w:r>
      <w:r>
        <w:rPr>
          <w:b/>
        </w:rPr>
        <w:t xml:space="preserve"> </w:t>
        <w:r>
          <w:rPr/>
          <w:t xml:space="preserve">MANW</w:t>
        </w:r>
      </w:r>
      <w:r>
        <w:rPr>
          <w:b/>
        </w:rPr>
        <w:t xml:space="preserve"> </w:t>
        <w:r>
          <w:rPr/>
          <w:t xml:space="preserve">H4334.1</w:t>
        </w:r>
      </w:r>
      <w:r>
        <w:rPr>
          <w:b/>
        </w:rPr>
        <w:t xml:space="preserve"> - NOT FOR FLOOR USE</w:t>
      </w:r>
    </w:p>
    <w:p>
      <w:pPr>
        <w:ind w:left="0" w:right="0" w:firstLine="576"/>
      </w:pPr>
    </w:p>
    <w:p>
      <w:pPr>
        <w:spacing w:before="480" w:after="0" w:line="408" w:lineRule="exact"/>
      </w:pPr>
      <w:r>
        <w:rPr>
          <w:b/>
          <w:u w:val="single"/>
        </w:rPr>
        <w:t xml:space="preserve">SHB 1800</w:t>
      </w:r>
      <w:r>
        <w:t xml:space="preserve"> -</w:t>
      </w:r>
      <w:r>
        <w:t xml:space="preserve"> </w:t>
        <w:t xml:space="preserve">H AMD</w:t>
      </w:r>
      <w:r>
        <w:t xml:space="preserve"> </w:t>
      </w:r>
      <w:r>
        <w:rPr>
          <w:b/>
        </w:rPr>
        <w:t xml:space="preserve">1023</w:t>
      </w:r>
    </w:p>
    <w:p>
      <w:pPr>
        <w:spacing w:before="0" w:after="0" w:line="408" w:lineRule="exact"/>
        <w:ind w:left="0" w:right="0" w:firstLine="576"/>
        <w:jc w:val="left"/>
      </w:pPr>
      <w:r>
        <w:rPr/>
        <w:t xml:space="preserve">By Representative Manweller</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government subdivisions are often prohibited from addressing these challenges because of Washington laws that narrowly prescribe the methods by which they may elect members of their legislative bodies. The legislature intends to modify existing prohibitions in state laws so that these jurisdictions may voluntarily adopt changes on their own, in collaboration with affected community members, to remedy potential electoral issues.</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favors or disfavors any racial group or political party.</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the adoption of its proposed plan, the political subdivision shall provide full and reasonable public notice of its actions. The political subdivision shall hold at least one public hearing on the proposed plan at least one week before adoption.</w:t>
      </w:r>
    </w:p>
    <w:p>
      <w:pPr>
        <w:spacing w:before="0" w:after="0" w:line="408" w:lineRule="exact"/>
        <w:ind w:left="0" w:right="0" w:firstLine="576"/>
        <w:jc w:val="left"/>
      </w:pPr>
      <w:r>
        <w:rPr/>
        <w:t xml:space="preserve">(a) Political subdivisions shall provide such notices and information in the languages of any community or area where a significant segment of the community speaks a language other than English and has limited proficiency in English.</w:t>
      </w:r>
    </w:p>
    <w:p>
      <w:pPr>
        <w:spacing w:before="0" w:after="0" w:line="408" w:lineRule="exact"/>
        <w:ind w:left="0" w:right="0" w:firstLine="576"/>
        <w:jc w:val="left"/>
      </w:pPr>
      <w:r>
        <w:rPr/>
        <w:t xml:space="preserve">(b) Political subdivisions must provide accurate written and verbal notices in the languages represented by their communities who speak a language other than English. Political subdivisions must air public service announcements by radio or television broadcast in the languages represented by their communities who speak a language other than English.</w:t>
      </w:r>
    </w:p>
    <w:p>
      <w:pPr>
        <w:spacing w:before="0" w:after="0" w:line="408" w:lineRule="exact"/>
        <w:ind w:left="0" w:right="0" w:firstLine="576"/>
        <w:jc w:val="left"/>
      </w:pPr>
      <w:r>
        <w:rPr/>
        <w:t xml:space="preserve">(c) "Significant segment," for purposes of this section, means five percent or more of residents, or five hundred residents, whichever is fewer, residing in the affected political subdivision who are of limited English proficiency.</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403 of this act.</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person who intends to challenge a political subdivision's electoral system under this act shall first notify the political subdivision in writing.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participate in elections.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w:t>
      </w:r>
    </w:p>
    <w:p>
      <w:pPr>
        <w:spacing w:before="0" w:after="0" w:line="408" w:lineRule="exact"/>
        <w:ind w:left="0" w:right="0" w:firstLine="576"/>
        <w:jc w:val="left"/>
      </w:pPr>
      <w:r>
        <w:rPr/>
        <w:t xml:space="preserve">(a) It is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act, the court shall analyze elections of the governing body of the political subdivision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participate in elections.</w:t>
      </w:r>
    </w:p>
    <w:p>
      <w:pPr>
        <w:spacing w:before="0" w:after="0" w:line="408" w:lineRule="exact"/>
        <w:ind w:left="0" w:right="0" w:firstLine="576"/>
        <w:jc w:val="left"/>
      </w:pPr>
      <w:r>
        <w:rPr/>
        <w:t xml:space="preserve">(2) If the political subdivision adopts a remedy after receiving notice, the political subdivision shall seek a court order acknowledging that the political subdivision's remedy complies with section 104 of this act, and shall notify the person who submitted the notice about the attempt to obtain a court order.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w:t>
      </w:r>
    </w:p>
    <w:p>
      <w:pPr>
        <w:spacing w:before="0" w:after="0" w:line="408" w:lineRule="exact"/>
        <w:ind w:left="0" w:right="0" w:firstLine="576"/>
        <w:jc w:val="left"/>
      </w:pPr>
      <w:r>
        <w:rPr/>
        <w:t xml:space="preserve">(2) If, within one hundred eighty days after receiving the person's notice, a political subdivision receives any other notice containing a materially different proposed remedy than the first notice, no action may be filed under this act within two hundred seventy days after receiving the initial notice.</w:t>
      </w:r>
    </w:p>
    <w:p>
      <w:pPr>
        <w:spacing w:before="0" w:after="0" w:line="408" w:lineRule="exact"/>
        <w:ind w:left="0" w:right="0" w:firstLine="576"/>
        <w:jc w:val="left"/>
      </w:pPr>
      <w:r>
        <w:rPr/>
        <w:t xml:space="preserve">(3)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participate in elections. If the political subdivision adopts one of the remedies offered, or a different remedy that takes multiple notices into account, the political subdivision shall seek a court order acknowledging that the political subdivision's remedy complies with section 104 of this act.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w:t>
      </w:r>
    </w:p>
    <w:p>
      <w:pPr>
        <w:spacing w:before="0" w:after="0" w:line="408" w:lineRule="exact"/>
        <w:ind w:left="0" w:right="0" w:firstLine="576"/>
        <w:jc w:val="left"/>
      </w:pPr>
      <w:r>
        <w:rPr/>
        <w:t xml:space="preserve">(4) If the court concludes that the political subdivision's remedy complies with section 104 of this act, an action under this act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are encouraged to file an action jointly pursuant to this act if they demonstrate that their combined voting preferences as a group are different from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The plaintiff's constitutional right to the secrecy of the plaintiff's vote is preserved and is not waived by the filing of an action pursuant to this act.</w:t>
      </w:r>
    </w:p>
    <w:p>
      <w:pPr>
        <w:spacing w:before="0" w:after="0" w:line="408" w:lineRule="exact"/>
        <w:ind w:left="0" w:right="0" w:firstLine="576"/>
        <w:jc w:val="left"/>
      </w:pPr>
      <w:r>
        <w:rPr/>
        <w:t xml:space="preserve">(3) No notice may be submitted to any political subdivision pursuant to this act before July 19,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The court may order the affected jurisdiction to draw or redraw district boundaries. The proposed districts must be approved by the court prior to their implementation.</w:t>
      </w:r>
    </w:p>
    <w:p>
      <w:pPr>
        <w:spacing w:before="0" w:after="0" w:line="408" w:lineRule="exact"/>
        <w:ind w:left="0" w:right="0" w:firstLine="576"/>
        <w:jc w:val="left"/>
      </w:pPr>
      <w:r>
        <w:rPr/>
        <w:t xml:space="preserve">(2)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action to enforce this chapter, the court may allow the prevailing party reasonable attorneys' fees, all nonattorney fee costs as defined by RCW 4.84.010, and all reasonable expert witness fees. No fees or costs may be awarded if no action is filed.</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two thousand or to school districts with K-12 full-time equivalent enrollments of less than five hundred.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entire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and 301 through 501 of this act constitute a new chapter in </w:t>
      </w:r>
      <w:r>
        <w:rPr/>
        <w:t xml:space="preserve">Title </w:t>
      </w:r>
      <w:r>
        <w:t xml:space="preserve">29A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references to federal law.</w:t>
      </w:r>
    </w:p>
    <w:p>
      <w:pPr>
        <w:spacing w:before="0" w:after="0" w:line="408" w:lineRule="exact"/>
        <w:ind w:left="0" w:right="0" w:firstLine="576"/>
        <w:jc w:val="left"/>
      </w:pPr>
      <w:r>
        <w:rPr/>
        <w:t xml:space="preserve">(2) Removes provision that proof of intent to discriminate is not required to find a violation.</w:t>
      </w:r>
    </w:p>
    <w:p>
      <w:pPr>
        <w:spacing w:before="0" w:after="0" w:line="408" w:lineRule="exact"/>
        <w:ind w:left="0" w:right="0" w:firstLine="576"/>
        <w:jc w:val="left"/>
      </w:pPr>
      <w:r>
        <w:rPr/>
        <w:t xml:space="preserve">(3) Removes rebuttable presumption and inferences against a subdivision where a remedy is submitted for court approval.</w:t>
      </w:r>
    </w:p>
    <w:p>
      <w:pPr>
        <w:spacing w:before="0" w:after="0" w:line="408" w:lineRule="exact"/>
        <w:ind w:left="0" w:right="0" w:firstLine="576"/>
        <w:jc w:val="left"/>
      </w:pPr>
      <w:r>
        <w:rPr/>
        <w:t xml:space="preserve">(4) Changes standard of a violation to prohibit election methods that favor or disfavor a racial group or political party.</w:t>
      </w:r>
    </w:p>
    <w:p>
      <w:pPr>
        <w:spacing w:before="0" w:after="0" w:line="408" w:lineRule="exact"/>
        <w:ind w:left="0" w:right="0" w:firstLine="576"/>
        <w:jc w:val="left"/>
      </w:pPr>
      <w:r>
        <w:rPr/>
        <w:t xml:space="preserve">(5) Removes reference to certain factors used to determine a violation, including consideration of ballot measures, elections that included protected class members, and list of factors related to historical treatment of protected classes.</w:t>
      </w:r>
    </w:p>
    <w:p>
      <w:pPr>
        <w:spacing w:before="0" w:after="0" w:line="408" w:lineRule="exact"/>
        <w:ind w:left="0" w:right="0" w:firstLine="576"/>
        <w:jc w:val="left"/>
      </w:pPr>
      <w:r>
        <w:rPr/>
        <w:t xml:space="preserve">(6) Removes the reduced notice period that begins in 2021. Removes the statute of limitations.</w:t>
      </w:r>
    </w:p>
    <w:p>
      <w:pPr>
        <w:spacing w:before="0" w:after="0" w:line="408" w:lineRule="exact"/>
        <w:ind w:left="0" w:right="0" w:firstLine="576"/>
        <w:jc w:val="left"/>
      </w:pPr>
      <w:r>
        <w:rPr/>
        <w:t xml:space="preserve">(7) Removes direction to a court that consideration of a district-based election system is not precluded if the protected class does not constitute a majority within a proposed district.</w:t>
      </w:r>
    </w:p>
    <w:p>
      <w:pPr>
        <w:spacing w:before="0" w:after="0" w:line="408" w:lineRule="exact"/>
        <w:ind w:left="0" w:right="0" w:firstLine="576"/>
        <w:jc w:val="left"/>
      </w:pPr>
      <w:r>
        <w:rPr/>
        <w:t xml:space="preserve">(8) Increases the population thresholds for exempting cities and towns from one thousand to two thousand people.</w:t>
      </w:r>
    </w:p>
    <w:p>
      <w:pPr>
        <w:spacing w:before="0" w:after="0" w:line="408" w:lineRule="exact"/>
        <w:ind w:left="0" w:right="0" w:firstLine="576"/>
        <w:jc w:val="left"/>
      </w:pPr>
      <w:r>
        <w:rPr/>
        <w:t xml:space="preserve">(9) Increases the student threshold for exempting school districts from two hundred fifty to five hundred students.</w:t>
      </w:r>
    </w:p>
    <w:p>
      <w:pPr>
        <w:spacing w:before="0" w:after="0" w:line="408" w:lineRule="exact"/>
        <w:ind w:left="0" w:right="0" w:firstLine="576"/>
        <w:jc w:val="left"/>
      </w:pPr>
      <w:r>
        <w:rPr/>
        <w:t xml:space="preserve">(10) Removes reference to the act in other specific statutory sections dealing with local elections, regarding counties, cities, and school, fire, port, and public utility districts.</w:t>
      </w:r>
    </w:p>
    <w:p>
      <w:pPr>
        <w:spacing w:before="0" w:after="0" w:line="408" w:lineRule="exact"/>
        <w:ind w:left="0" w:right="0" w:firstLine="576"/>
        <w:jc w:val="left"/>
      </w:pPr>
      <w:r>
        <w:rPr/>
        <w:t xml:space="preserve">(11) Removes provision that the act supersedes other state laws that would restrict compliance with the act.</w:t>
      </w:r>
    </w:p>
    <w:p>
      <w:pPr>
        <w:spacing w:before="0" w:after="0" w:line="408" w:lineRule="exact"/>
        <w:ind w:left="0" w:right="0" w:firstLine="576"/>
        <w:jc w:val="left"/>
      </w:pPr>
      <w:r>
        <w:rPr/>
        <w:t xml:space="preserve">(12) Changes the null and void clause to provide that the entire act is null and void if any provision is held to be invalid.</w:t>
      </w:r>
    </w:p>
    <w:p>
      <w:pPr>
        <w:spacing w:before="0" w:after="0" w:line="408" w:lineRule="exact"/>
        <w:ind w:left="0" w:right="0" w:firstLine="576"/>
        <w:jc w:val="left"/>
      </w:pPr>
      <w:r>
        <w:rPr/>
        <w:t xml:space="preserve">(13) Requires a violation to show the protected class: (a) Is large and compact enough to be a majority in a district;(b) is politically cohesive; and (c) prefers candidates that are defeated by a majority voting bloc.</w:t>
      </w:r>
    </w:p>
    <w:p>
      <w:pPr>
        <w:spacing w:before="0" w:after="0" w:line="408" w:lineRule="exact"/>
        <w:ind w:left="0" w:right="0" w:firstLine="576"/>
        <w:jc w:val="left"/>
      </w:pPr>
      <w:r>
        <w:rPr/>
        <w:t xml:space="preserve">(14) Requires courts to analyze elections with at least one candidate who is a member of a protected class and limits consideration to elections prior to filing court action.</w:t>
      </w:r>
    </w:p>
    <w:p>
      <w:pPr>
        <w:spacing w:before="0" w:after="0" w:line="408" w:lineRule="exact"/>
        <w:ind w:left="0" w:right="0" w:firstLine="576"/>
        <w:jc w:val="left"/>
      </w:pPr>
      <w:r>
        <w:rPr/>
        <w:t xml:space="preserve">(15) Provides consideration of factors by a totality of circumstances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2c0d4d90a47fa" /></Relationships>
</file>