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84a5ae96e4edb" /></Relationships>
</file>

<file path=word/document.xml><?xml version="1.0" encoding="utf-8"?>
<w:document xmlns:w="http://schemas.openxmlformats.org/wordprocessingml/2006/main">
  <w:body>
    <w:p>
      <w:r>
        <w:rPr>
          <w:b/>
        </w:rPr>
        <w:r>
          <w:rPr/>
          <w:t xml:space="preserve">2278-S</w:t>
        </w:r>
      </w:r>
      <w:r>
        <w:rPr>
          <w:b/>
        </w:rPr>
        <w:t xml:space="preserve"> </w:t>
        <w:t xml:space="preserve">AMH</w:t>
      </w:r>
      <w:r>
        <w:rPr>
          <w:b/>
        </w:rPr>
        <w:t xml:space="preserve"> </w:t>
        <w:r>
          <w:rPr/>
          <w:t xml:space="preserve">MORR</w:t>
        </w:r>
      </w:r>
      <w:r>
        <w:rPr>
          <w:b/>
        </w:rPr>
        <w:t xml:space="preserve"> </w:t>
        <w:r>
          <w:rPr/>
          <w:t xml:space="preserve">H4771.2</w:t>
        </w:r>
      </w:r>
      <w:r>
        <w:rPr>
          <w:b/>
        </w:rPr>
        <w:t xml:space="preserve"> - NOT FOR FLOOR USE</w:t>
      </w:r>
    </w:p>
    <w:p>
      <w:pPr>
        <w:ind w:left="0" w:right="0" w:firstLine="576"/>
      </w:pPr>
    </w:p>
    <w:p>
      <w:pPr>
        <w:spacing w:before="480" w:after="0" w:line="408" w:lineRule="exact"/>
      </w:pPr>
      <w:r>
        <w:rPr>
          <w:b/>
          <w:u w:val="single"/>
        </w:rPr>
        <w:t xml:space="preserve">SHB 2278</w:t>
      </w:r>
      <w:r>
        <w:t xml:space="preserve"> -</w:t>
      </w:r>
      <w:r>
        <w:t xml:space="preserve"> </w:t>
        <w:t xml:space="preserve">H AMD</w:t>
      </w:r>
      <w:r>
        <w:t xml:space="preserve"> </w:t>
      </w:r>
      <w:r>
        <w:rPr>
          <w:b/>
        </w:rPr>
        <w:t xml:space="preserve">993</w:t>
      </w:r>
    </w:p>
    <w:p>
      <w:pPr>
        <w:spacing w:before="0" w:after="0" w:line="408" w:lineRule="exact"/>
        <w:ind w:left="0" w:right="0" w:firstLine="576"/>
        <w:jc w:val="left"/>
      </w:pPr>
      <w:r>
        <w:rPr/>
        <w:t xml:space="preserve">By Representative Morris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state agency that sells or charges for furnishing personally identifiable information must designate an agency privacy officer. In coordination with the state office of privacy and data protection, the agency privacy officer must:</w:t>
      </w:r>
    </w:p>
    <w:p>
      <w:pPr>
        <w:spacing w:before="0" w:after="0" w:line="408" w:lineRule="exact"/>
        <w:ind w:left="0" w:right="0" w:firstLine="576"/>
        <w:jc w:val="left"/>
      </w:pPr>
      <w:r>
        <w:rPr/>
        <w:t xml:space="preserve">(a) Develop an agency personally identifiable information minimization policy to reduce the use and retention of personally identifiable information wherever possible;</w:t>
      </w:r>
    </w:p>
    <w:p>
      <w:pPr>
        <w:spacing w:before="0" w:after="0" w:line="408" w:lineRule="exact"/>
        <w:ind w:left="0" w:right="0" w:firstLine="576"/>
        <w:jc w:val="left"/>
      </w:pPr>
      <w:r>
        <w:rPr/>
        <w:t xml:space="preserve">(b) Create a work plan that uses a Gantt chart or similar project planning tool for the following, including the estimated costs of execution:</w:t>
      </w:r>
    </w:p>
    <w:p>
      <w:pPr>
        <w:spacing w:before="0" w:after="0" w:line="408" w:lineRule="exact"/>
        <w:ind w:left="0" w:right="0" w:firstLine="576"/>
        <w:jc w:val="left"/>
      </w:pPr>
      <w:r>
        <w:rPr/>
        <w:t xml:space="preserve">(i) An inventory of all personally identifiable information prepared, owned, used, or retained by the agency,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personally identifiable information collected by the agency, that would be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no later than December 15, 2018.</w:t>
      </w:r>
    </w:p>
    <w:p>
      <w:pPr>
        <w:spacing w:before="0" w:after="0" w:line="408" w:lineRule="exact"/>
        <w:ind w:left="0" w:right="0" w:firstLine="576"/>
        <w:jc w:val="left"/>
      </w:pPr>
      <w:r>
        <w:rPr/>
        <w:t xml:space="preserve">(2) Agency privacy officers designated under subsection (1) of this section must complete a training course provided by the state office of privacy and data protection on privacy best practices. The training course must be completed no later than sixty days after assuming responsibilities as an agency privacy officer, and at intervals of no more than four years as long as they maintain the designation.</w:t>
      </w:r>
    </w:p>
    <w:p>
      <w:pPr>
        <w:spacing w:before="0" w:after="0" w:line="408" w:lineRule="exact"/>
        <w:ind w:left="0" w:right="0" w:firstLine="576"/>
        <w:jc w:val="left"/>
      </w:pPr>
      <w:r>
        <w:rPr/>
        <w:t xml:space="preserve">(3) Any inventory or data map records created under subsection (1)(b) of this section that reveal the location of personally identifiable information or the extent to which it is protected may not be disclosed under the public records act, chapter 42.56 RCW.</w:t>
      </w:r>
    </w:p>
    <w:p>
      <w:pPr>
        <w:spacing w:before="0" w:after="0" w:line="408" w:lineRule="exact"/>
        <w:ind w:left="0" w:right="0" w:firstLine="576"/>
        <w:jc w:val="left"/>
      </w:pPr>
      <w:r>
        <w:rPr/>
        <w:t xml:space="preserve">(4) Any state agency that begins selling or charging for furnishing personally identifiable information must either comply with subsection (1) of this section or request and receive an exemption from the office of the chief information officer.</w:t>
      </w:r>
    </w:p>
    <w:p>
      <w:pPr>
        <w:spacing w:before="0" w:after="0" w:line="408" w:lineRule="exact"/>
        <w:ind w:left="0" w:right="0" w:firstLine="576"/>
        <w:jc w:val="left"/>
      </w:pPr>
      <w:r>
        <w:rPr/>
        <w:t xml:space="preserve">(5) In addition to any specific authority under law to sell or charge for furnishing personally identifiable information, any state agency selling or charging for furnishing personally identifiable information must include an additional charge up to the amount necessary to fund:</w:t>
      </w:r>
    </w:p>
    <w:p>
      <w:pPr>
        <w:spacing w:before="0" w:after="0" w:line="408" w:lineRule="exact"/>
        <w:ind w:left="0" w:right="0" w:firstLine="576"/>
        <w:jc w:val="left"/>
      </w:pPr>
      <w:r>
        <w:rPr/>
        <w:t xml:space="preserve">(a) The state agency's privacy officer position and duties, as required under this section; and</w:t>
      </w:r>
    </w:p>
    <w:p>
      <w:pPr>
        <w:spacing w:before="0" w:after="0" w:line="408" w:lineRule="exact"/>
        <w:ind w:left="0" w:right="0" w:firstLine="576"/>
        <w:jc w:val="left"/>
      </w:pPr>
      <w:r>
        <w:rPr/>
        <w:t xml:space="preserve">(b) The office of the chief information officer in:</w:t>
      </w:r>
    </w:p>
    <w:p>
      <w:pPr>
        <w:spacing w:before="0" w:after="0" w:line="408" w:lineRule="exact"/>
        <w:ind w:left="0" w:right="0" w:firstLine="576"/>
        <w:jc w:val="left"/>
      </w:pPr>
      <w:r>
        <w:rPr/>
        <w:t xml:space="preserve">(i) Providing assistance with the implementation and ongoing operation of this section, including the designation and training of a privacy officer; and</w:t>
      </w:r>
    </w:p>
    <w:p>
      <w:pPr>
        <w:spacing w:before="0" w:after="0" w:line="408" w:lineRule="exact"/>
        <w:ind w:left="0" w:right="0" w:firstLine="576"/>
        <w:jc w:val="left"/>
      </w:pPr>
      <w:r>
        <w:rPr/>
        <w:t xml:space="preserve">(ii) Identifying the amount of work and time as needed to create and maintain the inventory and location map of personally identifiable information collected by the state agency.</w:t>
      </w:r>
    </w:p>
    <w:p>
      <w:pPr>
        <w:spacing w:before="0" w:after="0" w:line="408" w:lineRule="exact"/>
        <w:ind w:left="0" w:right="0" w:firstLine="576"/>
        <w:jc w:val="left"/>
      </w:pPr>
      <w:r>
        <w:rPr/>
        <w:t xml:space="preserve">(6) On December 1st of each odd-numbered year, the department of licensing must report to the legislature on the implementation and maintenance of this section, including best practices and recommendations for developing and implementing the department's policy and plan under this section.</w:t>
      </w:r>
    </w:p>
    <w:p>
      <w:pPr>
        <w:spacing w:before="0" w:after="0" w:line="408" w:lineRule="exact"/>
        <w:ind w:left="0" w:right="0" w:firstLine="576"/>
        <w:jc w:val="left"/>
      </w:pPr>
      <w:r>
        <w:rPr/>
        <w:t xml:space="preserve">(7) By December 1st of each year, any state agency that furnishes or sells personally identifiable information must file a report to the appropriate legislative committees of the legislature. The report must include:</w:t>
      </w:r>
    </w:p>
    <w:p>
      <w:pPr>
        <w:spacing w:before="0" w:after="0" w:line="408" w:lineRule="exact"/>
        <w:ind w:left="0" w:right="0" w:firstLine="576"/>
        <w:jc w:val="left"/>
      </w:pPr>
      <w:r>
        <w:rPr/>
        <w:t xml:space="preserve">(a) A detailed description including the authorized recipients of the personally identifiable information;</w:t>
      </w:r>
    </w:p>
    <w:p>
      <w:pPr>
        <w:spacing w:before="0" w:after="0" w:line="408" w:lineRule="exact"/>
        <w:ind w:left="0" w:right="0" w:firstLine="576"/>
        <w:jc w:val="left"/>
      </w:pPr>
      <w:r>
        <w:rPr/>
        <w:t xml:space="preserve">(b) The authority, scope, and purpose for the disclosure of the personally identifiable information; and</w:t>
      </w:r>
    </w:p>
    <w:p>
      <w:pPr>
        <w:spacing w:before="0" w:after="0" w:line="408" w:lineRule="exact"/>
        <w:ind w:left="0" w:right="0" w:firstLine="576"/>
        <w:jc w:val="left"/>
      </w:pPr>
      <w:r>
        <w:rPr/>
        <w:t xml:space="preserve">(c) An explanation of whether and how the agency's disclosure of the personally identifiable information is limited or restricted by rule, contract, report, or other means.</w:t>
      </w:r>
    </w:p>
    <w:p>
      <w:pPr>
        <w:spacing w:before="0" w:after="0" w:line="408" w:lineRule="exact"/>
        <w:ind w:left="0" w:right="0" w:firstLine="576"/>
        <w:jc w:val="left"/>
      </w:pPr>
      <w:r>
        <w:rPr/>
        <w:t xml:space="preserve">(8) For purposes of this section, "state agency" has the same meaning as in RCW 40.07.020.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chief information officer must assess the scope of personally identifiable information furnished by the department of licensing related to driver's license and vehicle records, as authorized by law, including but not limited to RCW 46.12.635 and 46.52.130. The assessment must determine the scope of personally identifiable information the department of licensing is authorized to furnish, as compared to the scope of personally identifiable information the department is furnishing in practice. The assessment also must determine the scope of the use of such personally identifiable information by the person or entity receiving the information for any commercial or other purpose, as compared to any limitations or restrictions in law on the use of such information.</w:t>
      </w:r>
    </w:p>
    <w:p>
      <w:pPr>
        <w:spacing w:before="0" w:after="0" w:line="408" w:lineRule="exact"/>
        <w:ind w:left="0" w:right="0" w:firstLine="576"/>
        <w:jc w:val="left"/>
      </w:pPr>
      <w:r>
        <w:rPr/>
        <w:t xml:space="preserve">(2) By December 31, 2018, the office of the chief information officer must produce findings and recommendations to the appropriate standing committees of the legislature. The findings must include the identification of any personally identifiable information being furnished by the department of licensing that is broader than the information specifically authorized to furnish. The recommendations must include any proposed legislation or practices to ensure that personally identifiable information is only being furnished and used for authorized purposes.</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A governmental entity is prohibited from furnishing, selling, or charging for:</w:t>
      </w:r>
    </w:p>
    <w:p>
      <w:pPr>
        <w:spacing w:before="0" w:after="0" w:line="408" w:lineRule="exact"/>
        <w:ind w:left="0" w:right="0" w:firstLine="576"/>
        <w:jc w:val="left"/>
      </w:pPr>
      <w:r>
        <w:rPr/>
        <w:t xml:space="preserve">(a) Personal financial and health information, except information furnished in an abstract driving record, pursuant to RCW 46.52.130; and</w:t>
      </w:r>
    </w:p>
    <w:p>
      <w:pPr>
        <w:spacing w:before="0" w:after="0" w:line="408" w:lineRule="exact"/>
        <w:ind w:left="0" w:right="0" w:firstLine="576"/>
        <w:jc w:val="left"/>
      </w:pPr>
      <w:r>
        <w:rPr/>
        <w:t xml:space="preserve">(b) Personal identification numbers issued by a government entity.</w:t>
      </w:r>
    </w:p>
    <w:p>
      <w:pPr>
        <w:spacing w:before="0" w:after="0" w:line="408" w:lineRule="exact"/>
        <w:ind w:left="0" w:right="0" w:firstLine="576"/>
        <w:jc w:val="left"/>
      </w:pPr>
      <w:r>
        <w:rPr/>
        <w:t xml:space="preserve">(2) This section does not apply to information furnished, sold, or charged to another governmental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2017 c 43 s 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r>
        <w:rPr>
          <w:u w:val="single"/>
        </w:rPr>
        <w:t xml:space="preserve">, or to a designated entity that has a contract with the department, exclusively for the following authorized uses by such persons or entities</w:t>
      </w:r>
      <w:r>
        <w:rPr/>
        <w:t xml:space="preserve">:</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w:t>
      </w:r>
      <w:r>
        <w:rPr>
          <w:b/>
          <w:u w:val="single"/>
        </w:rPr>
        <w:t xml:space="preserve">, or for commercial purposes,</w:t>
      </w:r>
      <w:r>
        <w:rPr>
          <w:b/>
        </w:rPr>
        <w:t xml:space="preserve"> prohibited.</w:t>
      </w:r>
      <w:r>
        <w:rPr/>
        <w:t xml:space="preserve"> </w:t>
      </w:r>
      <w:r>
        <w:rPr>
          <w:u w:val="single"/>
        </w:rPr>
        <w:t xml:space="preserve">(a)</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w:t>
      </w:r>
      <w:r>
        <w:t>((</w:t>
      </w:r>
      <w:r>
        <w:rPr>
          <w:strike/>
        </w:rPr>
        <w:t xml:space="preserve">any information contained in the abstract</w:t>
      </w:r>
      <w:r>
        <w:t>))</w:t>
      </w:r>
      <w:r>
        <w:rPr>
          <w:u w:val="single"/>
        </w:rPr>
        <w:t xml:space="preserve">, transfer, sell, trade, monetize, or otherwise furnish information in an abstract of a person's driving record</w:t>
      </w:r>
      <w:r>
        <w:rPr/>
        <w:t xml:space="preserve"> to a third party.</w:t>
      </w:r>
    </w:p>
    <w:p>
      <w:pPr>
        <w:spacing w:before="0" w:after="0" w:line="408" w:lineRule="exact"/>
        <w:ind w:left="0" w:right="0" w:firstLine="576"/>
        <w:jc w:val="left"/>
      </w:pPr>
      <w:r>
        <w:rPr>
          <w:u w:val="single"/>
        </w:rPr>
        <w:t xml:space="preserve">(b) The department may not release the abstract of a person's driving record to any person or entity to be used for a commercial purpose.</w:t>
      </w:r>
    </w:p>
    <w:p>
      <w:pPr>
        <w:spacing w:before="0" w:after="0" w:line="408" w:lineRule="exact"/>
        <w:ind w:left="0" w:right="0" w:firstLine="576"/>
        <w:jc w:val="left"/>
      </w:pPr>
      <w:r>
        <w:rPr/>
        <w:t xml:space="preserve">(4) </w:t>
      </w:r>
      <w:r>
        <w:rPr>
          <w:b/>
        </w:rPr>
        <w:t xml:space="preserve">Fee.</w:t>
      </w:r>
      <w:r>
        <w:rPr/>
        <w:t xml:space="preserve"> The director shall collect a </w:t>
      </w:r>
      <w:r>
        <w:t>((</w:t>
      </w:r>
      <w:r>
        <w:rPr>
          <w:strike/>
        </w:rPr>
        <w:t xml:space="preserve">thirteen dollar</w:t>
      </w:r>
      <w:r>
        <w:t>))</w:t>
      </w:r>
      <w:r>
        <w:rPr/>
        <w:t xml:space="preserve"> fee for each abstract of a person's driving record furnished by the department. </w:t>
      </w:r>
      <w:r>
        <w:rPr>
          <w:u w:val="single"/>
        </w:rPr>
        <w:t xml:space="preserve">The fee must include:</w:t>
      </w:r>
    </w:p>
    <w:p>
      <w:pPr>
        <w:spacing w:before="0" w:after="0" w:line="408" w:lineRule="exact"/>
        <w:ind w:left="0" w:right="0" w:firstLine="576"/>
        <w:jc w:val="left"/>
      </w:pPr>
      <w:r>
        <w:rPr>
          <w:u w:val="single"/>
        </w:rPr>
        <w:t xml:space="preserve">(a) Thirteen dollars for each abstract, f</w:t>
      </w:r>
      <w:r>
        <w:rPr/>
        <w:t xml:space="preserve">ifty percent of </w:t>
      </w:r>
      <w:r>
        <w:t>((</w:t>
      </w:r>
      <w:r>
        <w:rPr>
          <w:strike/>
        </w:rPr>
        <w:t xml:space="preserve">the fee</w:t>
      </w:r>
      <w:r>
        <w:t>))</w:t>
      </w:r>
      <w:r>
        <w:rPr/>
        <w:t xml:space="preserve"> </w:t>
      </w:r>
      <w:r>
        <w:rPr>
          <w:u w:val="single"/>
        </w:rPr>
        <w:t xml:space="preserve">which</w:t>
      </w:r>
      <w:r>
        <w:rPr/>
        <w:t xml:space="preserve"> must be deposited in the highway safety fund, and fifty percent of </w:t>
      </w:r>
      <w:r>
        <w:t>((</w:t>
      </w:r>
      <w:r>
        <w:rPr>
          <w:strike/>
        </w:rPr>
        <w:t xml:space="preserve">the fee</w:t>
      </w:r>
      <w:r>
        <w:t>))</w:t>
      </w:r>
      <w:r>
        <w:rPr/>
        <w:t xml:space="preserve"> </w:t>
      </w:r>
      <w:r>
        <w:rPr>
          <w:u w:val="single"/>
        </w:rPr>
        <w:t xml:space="preserve">which</w:t>
      </w:r>
      <w:r>
        <w:rPr/>
        <w:t xml:space="preserve"> must be deposited according to RCW 46.68.038</w:t>
      </w:r>
      <w:r>
        <w:rPr>
          <w:u w:val="single"/>
        </w:rPr>
        <w:t xml:space="preserve">; and</w:t>
      </w:r>
    </w:p>
    <w:p>
      <w:pPr>
        <w:spacing w:before="0" w:after="0" w:line="408" w:lineRule="exact"/>
        <w:ind w:left="0" w:right="0" w:firstLine="576"/>
        <w:jc w:val="left"/>
      </w:pPr>
      <w:r>
        <w:rPr>
          <w:u w:val="single"/>
        </w:rPr>
        <w:t xml:space="preserve">(b) An additional amount for each abstract, as determined by the director, up to the amount necessary to fund:</w:t>
      </w:r>
    </w:p>
    <w:p>
      <w:pPr>
        <w:spacing w:before="0" w:after="0" w:line="408" w:lineRule="exact"/>
        <w:ind w:left="0" w:right="0" w:firstLine="576"/>
        <w:jc w:val="left"/>
      </w:pPr>
      <w:r>
        <w:rPr>
          <w:u w:val="single"/>
        </w:rPr>
        <w:t xml:space="preserve">(i) The department's privacy officer position and duties, as required under section 1 of this act;</w:t>
      </w:r>
    </w:p>
    <w:p>
      <w:pPr>
        <w:spacing w:before="0" w:after="0" w:line="408" w:lineRule="exact"/>
        <w:ind w:left="0" w:right="0" w:firstLine="576"/>
        <w:jc w:val="left"/>
      </w:pPr>
      <w:r>
        <w:rPr>
          <w:u w:val="single"/>
        </w:rPr>
        <w:t xml:space="preserve">(ii) The office of the chief information officer in:</w:t>
      </w:r>
    </w:p>
    <w:p>
      <w:pPr>
        <w:spacing w:before="0" w:after="0" w:line="408" w:lineRule="exact"/>
        <w:ind w:left="0" w:right="0" w:firstLine="576"/>
        <w:jc w:val="left"/>
      </w:pPr>
      <w:r>
        <w:rPr>
          <w:u w:val="single"/>
        </w:rPr>
        <w:t xml:space="preserve">(A) Providing assistance with the implementation and ongoing operation of section 1 of this act, including the designation and training of a privacy officer;</w:t>
      </w:r>
    </w:p>
    <w:p>
      <w:pPr>
        <w:spacing w:before="0" w:after="0" w:line="408" w:lineRule="exact"/>
        <w:ind w:left="0" w:right="0" w:firstLine="576"/>
        <w:jc w:val="left"/>
      </w:pPr>
      <w:r>
        <w:rPr>
          <w:u w:val="single"/>
        </w:rPr>
        <w:t xml:space="preserve">(B) Identifying the amount of work and time as needed to create and maintain the inventory and location map of personally identifiable information collected by the department; and</w:t>
      </w:r>
    </w:p>
    <w:p>
      <w:pPr>
        <w:spacing w:before="0" w:after="0" w:line="408" w:lineRule="exact"/>
        <w:ind w:left="0" w:right="0" w:firstLine="576"/>
        <w:jc w:val="left"/>
      </w:pPr>
      <w:r>
        <w:rPr>
          <w:u w:val="single"/>
        </w:rPr>
        <w:t xml:space="preserve">(iii) The preparation and submission of the biennial report required under section 1(4) of this act</w:t>
      </w:r>
      <w:r>
        <w:rPr/>
        <w:t xml:space="preserve">.</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2017 c 304 s 3 are each amended to read as follows:</w:t>
      </w:r>
    </w:p>
    <w:p>
      <w:pPr>
        <w:spacing w:before="0" w:after="0" w:line="408" w:lineRule="exact"/>
        <w:ind w:left="0" w:right="0" w:firstLine="576"/>
        <w:jc w:val="left"/>
      </w:pPr>
      <w:r>
        <w:rPr/>
        <w:t xml:space="preserve">(1) No fee shall be charged for the inspection of public records or locating public documents and making them available for copying, except as provided in RCW 42.56.240(14) and subsection (3) of this section.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t xml:space="preserve">(2)(a) Agency charges for actual costs may only be imposed in accordance with the costs established and published by the agency pursuant to RCW 42.56.070(7), and in accordance with the statement of factors and manner used to determine the actual costs. In no event may an agency charge a per page cost greater than the actual cost as established and published by the agency.</w:t>
      </w:r>
    </w:p>
    <w:p>
      <w:pPr>
        <w:spacing w:before="0" w:after="0" w:line="408" w:lineRule="exact"/>
        <w:ind w:left="0" w:right="0" w:firstLine="576"/>
        <w:jc w:val="left"/>
      </w:pPr>
      <w:r>
        <w:rPr/>
        <w:t xml:space="preserve">(b) An agency need not calculate the actual costs it charges for providing public records if it has rules or regulations declaring the reasons doing so would be unduly burdensome. To the extent the agency has not determined the actual costs of copying public records, the agency may not charge in excess of:</w:t>
      </w:r>
    </w:p>
    <w:p>
      <w:pPr>
        <w:spacing w:before="0" w:after="0" w:line="408" w:lineRule="exact"/>
        <w:ind w:left="0" w:right="0" w:firstLine="576"/>
        <w:jc w:val="left"/>
      </w:pPr>
      <w:r>
        <w:rPr/>
        <w:t xml:space="preserve">(i) Fifteen cents per page 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t xml:space="preserve">(ii) The customized service charge may reimburse the agency up to the actual cost of providing the services in this subsection.</w:t>
      </w:r>
    </w:p>
    <w:p>
      <w:pPr>
        <w:spacing w:before="0" w:after="0" w:line="408" w:lineRule="exact"/>
        <w:ind w:left="0" w:right="0" w:firstLine="576"/>
        <w:jc w:val="left"/>
      </w:pPr>
      <w:r>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p>
    <w:p>
      <w:pPr>
        <w:spacing w:before="0" w:after="0" w:line="408" w:lineRule="exact"/>
        <w:ind w:left="0" w:right="0" w:firstLine="576"/>
        <w:jc w:val="left"/>
      </w:pPr>
      <w:r>
        <w:rPr/>
        <w:t xml:space="preserve">(4) An agency may require a deposit in an amount not to exceed ten percent of the estimated cost of providing copies for a request, including a customized service charge. If an agency makes a request available on a partial or installment basis, the agency may charge for each part of the request as it is provided. If an installment of a records request is not claimed or reviewed, the agency is not obligated to fulfill the balance of the request. 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0" w:after="0" w:line="408" w:lineRule="exact"/>
        <w:ind w:left="0" w:right="0" w:firstLine="576"/>
        <w:jc w:val="left"/>
      </w:pPr>
      <w:r>
        <w:rPr>
          <w:u w:val="single"/>
        </w:rPr>
        <w:t xml:space="preserve">(5) No fee authorized in this section may be charged if prohibited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 and</w:t>
      </w:r>
    </w:p>
    <w:p>
      <w:pPr>
        <w:spacing w:before="0" w:after="0" w:line="408" w:lineRule="exact"/>
        <w:ind w:left="0" w:right="0" w:firstLine="576"/>
        <w:jc w:val="left"/>
      </w:pPr>
      <w:r>
        <w:rPr>
          <w:u w:val="single"/>
        </w:rPr>
        <w:t xml:space="preserve">(7) Personally identifiable information inventory or data map records created under section 1(1)(b) of this act, that reveal the location of personally identifiable information or the extent to which it is protected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the privacy officer requirement only applicable to state agencies that sell or charge for furnishing personally identifiable information.</w:t>
      </w:r>
    </w:p>
    <w:p>
      <w:pPr>
        <w:spacing w:before="0" w:after="0" w:line="408" w:lineRule="exact"/>
        <w:ind w:left="0" w:right="0" w:firstLine="576"/>
        <w:jc w:val="left"/>
      </w:pPr>
      <w:r>
        <w:rPr/>
        <w:t xml:space="preserve">(2) Requires agencies that must designate a privacy officer to include an additional fee for furnishing personally identifiable information to the extent needed to fund the privacy officer position as well as the Office of the Chief Information Officer (OCIO) in providing training and assistance.</w:t>
      </w:r>
    </w:p>
    <w:p>
      <w:pPr>
        <w:spacing w:before="0" w:after="0" w:line="408" w:lineRule="exact"/>
        <w:ind w:left="0" w:right="0" w:firstLine="576"/>
        <w:jc w:val="left"/>
      </w:pPr>
      <w:r>
        <w:rPr/>
        <w:t xml:space="preserve">(3) Requires the OCIO to assess the personally identifiable information in driver's license and vehicle records furnished by the department of licensing and to submit findings and recommendations to the legislature by December 31, 2018.</w:t>
      </w:r>
    </w:p>
    <w:p>
      <w:pPr>
        <w:spacing w:before="0" w:after="0" w:line="408" w:lineRule="exact"/>
        <w:ind w:left="0" w:right="0" w:firstLine="576"/>
        <w:jc w:val="left"/>
      </w:pPr>
      <w:r>
        <w:rPr/>
        <w:t xml:space="preserve">(4) Provides that abstract driver's records may only be used by authorized entities for authorized purposes and may not be transferred, sold, traded, monetized, or otherwise furnished with a third party.</w:t>
      </w:r>
    </w:p>
    <w:p>
      <w:pPr>
        <w:spacing w:before="0" w:after="0" w:line="408" w:lineRule="exact"/>
        <w:ind w:left="0" w:right="0" w:firstLine="576"/>
        <w:jc w:val="left"/>
      </w:pPr>
      <w:r>
        <w:rPr/>
        <w:t xml:space="preserve">(5) Requires any state agency that furnishes personally identifiable information to report to the legislature annually.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fef90adae498e" /></Relationships>
</file>