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efeb62e6847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GRAV</w:t>
        </w:r>
      </w:r>
      <w:r>
        <w:rPr>
          <w:b/>
        </w:rPr>
        <w:t xml:space="preserve"> </w:t>
        <w:r>
          <w:rPr/>
          <w:t xml:space="preserve">H4766.1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Graves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20, after "(k)" insert "Mechanisms allowing a person associated with the operation of the following types of vehicles to earn credits under the program, whereby each gallon of diesel or gasoline consumed by a vehicle is attributed zero lifecycle greenhouse gas emissions: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vehicle used to provide private employer transportation services, as that term is defined in RCW 47.04.290;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vehicle used to provide a prearranged ride organized by a commercial transportation services provider, as defined in RCW 48.177.005;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Vehicles operated by taxicab companies regulated under chapter 81.72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Vehicles used by private, nonprofit transportation providers as defined in RCW 81.66.010;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Ecology's clean fuels program rules to provide a mechanism allowing credits to be earned, by attributing zero lifecycle greenhouse gas emissions to each gallon of gasoline or diesel used, by persons associated with the following types of vehicles: Employer shuttles, taxicabs, vehicles used in conjunction with prearranged ride software applications, and vehicles used to transport persons with special needs.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147035e3496d" /></Relationships>
</file>