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230dae604b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SHEA</w:t>
        </w:r>
      </w:r>
      <w:r>
        <w:rPr>
          <w:b/>
        </w:rPr>
        <w:t xml:space="preserve"> </w:t>
        <w:r>
          <w:rPr/>
          <w:t xml:space="preserve">H4757.1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2338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Shea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"(f)" insert "Exemptions for, or attribution of zero associated life-cycle greenhouse gas emissions to,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Transportation fuels brought into this state by means of the primary fuel supply tank of a motor vehicle, vessel, locomotive, or aircraft, actively supplying fuel for combustion upon entry into the state, and any electricity generated by such fossil fuels;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Transportation fuels that the state is prohibited from regulating under the state Constitution or the Constitution or laws of the United States;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Electricity used as a transportation fuel that qualifies as coal transition power as defined in RCW 80.80.010;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Diesel fuel and biodiesel fuel, as those terms are defined in RCW 82.08.865, when these fuels are used solely for agricultural purposes by a farm fuel user;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Transportation fuels used by any business described in RCW 82.04.260(12);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ecology's rules to exempt from clean fuel program requirements or to attribute zero life-cycle greenhouse gas emissions to the following: (1) Certain fuels brought in via a supply tank; (2) fuels that are prohibited from regulation under the state or federal Constitution; (3) electricity used as transportation fuel that was originated with certain coal-fired electric generation facilities; (4) certain transportation fuels used for agricultural purposes; and (5) transportation fuels used by certain persons associated with the extraction, manufacture, processing, or sale of timber.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fe37ea5064951" /></Relationships>
</file>