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2bcaa596a4ee4" /></Relationships>
</file>

<file path=word/document.xml><?xml version="1.0" encoding="utf-8"?>
<w:document xmlns:w="http://schemas.openxmlformats.org/wordprocessingml/2006/main">
  <w:body>
    <w:p>
      <w:r>
        <w:rPr>
          <w:b/>
        </w:rPr>
        <w:r>
          <w:rPr/>
          <w:t xml:space="preserve">2439</w:t>
        </w:r>
      </w:r>
      <w:r>
        <w:rPr>
          <w:b/>
        </w:rPr>
        <w:t xml:space="preserve"> </w:t>
        <w:t xml:space="preserve">AMH</w:t>
      </w:r>
      <w:r>
        <w:rPr>
          <w:b/>
        </w:rPr>
        <w:t xml:space="preserve"> </w:t>
        <w:r>
          <w:rPr/>
          <w:t xml:space="preserve">KIRB</w:t>
        </w:r>
      </w:r>
      <w:r>
        <w:rPr>
          <w:b/>
        </w:rPr>
        <w:t xml:space="preserve"> </w:t>
        <w:r>
          <w:rPr/>
          <w:t xml:space="preserve">H4683.2</w:t>
        </w:r>
      </w:r>
      <w:r>
        <w:rPr>
          <w:b/>
        </w:rPr>
        <w:t xml:space="preserve"> - NOT FOR FLOOR USE</w:t>
      </w:r>
    </w:p>
    <w:p>
      <w:pPr>
        <w:ind w:left="0" w:right="0" w:firstLine="576"/>
      </w:pPr>
    </w:p>
    <w:p>
      <w:pPr>
        <w:spacing w:before="480" w:after="0" w:line="408" w:lineRule="exact"/>
      </w:pPr>
      <w:r>
        <w:rPr>
          <w:b/>
          <w:u w:val="single"/>
        </w:rPr>
        <w:t xml:space="preserve">HB 2439</w:t>
      </w:r>
      <w:r>
        <w:t xml:space="preserve"> -</w:t>
      </w:r>
      <w:r>
        <w:t xml:space="preserve"> </w:t>
        <w:t xml:space="preserve">H AMD</w:t>
      </w:r>
      <w:r>
        <w:t xml:space="preserve"> </w:t>
      </w:r>
      <w:r>
        <w:rPr>
          <w:b/>
        </w:rPr>
        <w:t xml:space="preserve">798</w:t>
      </w:r>
    </w:p>
    <w:p>
      <w:pPr>
        <w:spacing w:before="0" w:after="0" w:line="408" w:lineRule="exact"/>
        <w:ind w:left="0" w:right="0" w:firstLine="576"/>
        <w:jc w:val="left"/>
      </w:pPr>
      <w:r>
        <w:rPr/>
        <w:t xml:space="preserve">By Representative Kirby</w:t>
      </w:r>
    </w:p>
    <w:p>
      <w:pPr>
        <w:jc w:val="right"/>
      </w:pPr>
      <w:r>
        <w:rPr>
          <w:b/>
        </w:rPr>
        <w:t xml:space="preserve">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order, or where the issue identified in the notice of recall could otherwise affect the safe operation of the vehicle, commencing on the fifteenth day after the notice or order was issued and ending on the earlier of the date that the remedy or repair parts necessary to resolve the recall, stop-sale, or do-not-drive order are available to the dealer for vehicles in the dealer's inventory or the dealer sells, trades, or otherwise disposes of the vehicle, the manufacturer shall compensate the dealer at a prorated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manufacturer is not required to compensate a motor vehicle dealer for more than the total trade-in value of the vehicle as established under this section. A stop-sale or do-not-drive order is defined as a notification issued by a vehicle manufacturer to its franchised dealers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where the issue identified in the notice of recall could otherwise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 where the issue identified in the notice of recall could otherwise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 manufacturer shall pay a claim within thirty days following approval. Any claim not specifically disapproved in writing within thirty days following receipt is approved.</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0" w:after="0" w:line="408" w:lineRule="exact"/>
        <w:ind w:left="0" w:right="0" w:firstLine="576"/>
        <w:jc w:val="left"/>
      </w:pPr>
      <w:r>
        <w:rPr/>
        <w:t xml:space="preserve">(6) Any remedy provided to a new motor vehicle dealer under this section is exclusive and may not be combined with any other state or federal recall compensation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w:t>
      </w:r>
      <w:r>
        <w:t>((</w:t>
      </w:r>
      <w:r>
        <w:rPr>
          <w:strike/>
        </w:rPr>
        <w:t xml:space="preserve">state borders,</w:t>
      </w:r>
      <w:r>
        <w:t>))</w:t>
      </w:r>
      <w:r>
        <w:rPr/>
        <w:t xml:space="preserve">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w:t>
      </w:r>
      <w:r>
        <w:rPr>
          <w:u w:val="single"/>
        </w:rPr>
        <w:t xml:space="preserve">, or any corporation or association that is primarily owned by or composed of new motor vehicle dealers and that primarily represents the interests of new motor vehicle dealers and is acting for itself or by, for, or on behalf of one or more new motor vehicle dealers, has standing to file a petition to the department to have the matter handled as an adjudicative proceeding under chapter 34.05 RCW, or</w:t>
      </w:r>
      <w:r>
        <w:rPr/>
        <w:t xml:space="preserve"> may bring a civil action in </w:t>
      </w:r>
      <w:r>
        <w:t>((</w:t>
      </w:r>
      <w:r>
        <w:rPr>
          <w:strike/>
        </w:rPr>
        <w:t xml:space="preserve">the superior</w:t>
      </w:r>
      <w:r>
        <w:t>))</w:t>
      </w:r>
      <w:r>
        <w:rPr/>
        <w:t xml:space="preserve"> </w:t>
      </w:r>
      <w:r>
        <w:rPr>
          <w:u w:val="single"/>
        </w:rPr>
        <w:t xml:space="preserve">a</w:t>
      </w:r>
      <w:r>
        <w:rPr/>
        <w:t xml:space="preserve"> court </w:t>
      </w:r>
      <w:r>
        <w:rPr>
          <w:u w:val="single"/>
        </w:rPr>
        <w:t xml:space="preserve">of competent jurisdiction</w:t>
      </w:r>
      <w:r>
        <w:rPr/>
        <w:t xml:space="preserve"> to recover the actual damages sustained by the dealer, </w:t>
      </w:r>
      <w:r>
        <w:rPr>
          <w:u w:val="single"/>
        </w:rPr>
        <w:t xml:space="preserve">to seek declaratory relief, or to enjoin further violations,</w:t>
      </w:r>
      <w:r>
        <w:rPr/>
        <w:t xml:space="preserve"> together with the costs of the suit, including reasonable attorneys' fees if the new motor vehicle dealer</w:t>
      </w:r>
      <w:r>
        <w:rPr>
          <w:u w:val="single"/>
        </w:rPr>
        <w:t xml:space="preserve">, corporation, or association</w:t>
      </w:r>
      <w:r>
        <w:rPr/>
        <w:t xml:space="preserve"> prevails. </w:t>
      </w:r>
      <w:r>
        <w:t>((</w:t>
      </w:r>
      <w:r>
        <w:rPr>
          <w:strike/>
        </w:rPr>
        <w:t xml:space="preserve">The new motor vehicle dealer may bring a civil action in district court to recover his or her actual damages, except for damages that exceed the amount specified in RCW 3.66.020, and the costs of the suit, including reasonable attorneys' fees.</w:t>
      </w:r>
      <w:r>
        <w:t>))</w:t>
      </w:r>
      <w:r>
        <w:rPr/>
        <w:t xml:space="preserve"> </w:t>
      </w:r>
      <w:r>
        <w:rPr>
          <w:u w:val="single"/>
        </w:rPr>
        <w:t xml:space="preserve">In addition, the court may, in its discretion, increase the award of damages up to an amount not to exceed three times the actual damages sustained. If a petition is filed with the department, the petition must be accompanied with a filing fee in accordance with RCW 46.96.210.</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a manufacturer's obligation to compensate its dealer for a used vehicle subject to a recall and a stop-sale, do-not-drive order, or where the recall issue could otherwise affect the vehicle's safe operation, commences on the 15th day after the notice or order was issued and ends on the earlier of the following dates: (a) The date the remedy or repair parts necessary to resolve the recall, stop-sale, or do-not-drive order are available to the dealer; or (b) the date the dealer sells, trades, or otherwise disposes of the vehicle.</w:t>
      </w:r>
    </w:p>
    <w:p>
      <w:pPr>
        <w:spacing w:before="0" w:after="0" w:line="408" w:lineRule="exact"/>
        <w:ind w:left="0" w:right="0" w:firstLine="576"/>
        <w:jc w:val="left"/>
      </w:pPr>
      <w:r>
        <w:rPr/>
        <w:t xml:space="preserve">(2) Requires a manufacturer to pay a claim within 30 days following approval of the claim, rather than within 30 days of receipt of the claim.</w:t>
      </w:r>
    </w:p>
    <w:p>
      <w:pPr>
        <w:spacing w:before="0" w:after="0" w:line="408" w:lineRule="exact"/>
        <w:ind w:left="0" w:right="0" w:firstLine="576"/>
        <w:jc w:val="left"/>
      </w:pPr>
      <w:r>
        <w:rPr/>
        <w:t xml:space="preserve">(3) Provides that a manufacturer is not obligated to compensate a dealer for more than the total trade-in value of the vehicle. Specifies any reimbursement remedy provided to a dealer under the act is exclusive and may not be combined with any other state or federal recall compensation remedy.</w:t>
      </w:r>
    </w:p>
    <w:p>
      <w:pPr>
        <w:spacing w:before="0" w:after="0" w:line="408" w:lineRule="exact"/>
        <w:ind w:left="0" w:right="0" w:firstLine="576"/>
        <w:jc w:val="left"/>
      </w:pPr>
      <w:r>
        <w:rPr/>
        <w:t xml:space="preserve">(4) Authorizes a dealer (and not only a corporation or association of dealers) to file a petition with the Department of Licensing (DOL) to have a dispute with a manufacturer involving the motor vehicle franchise law settled as an adjudicative proceeding. Specifies that if a dealer or a corporation or association of dealers files such a petition with the DOL, then the petition must be accompanied by a filing fee established by the DOL.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4aa2c045c44df" /></Relationships>
</file>