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7a8a5752e48d4" /></Relationships>
</file>

<file path=word/document.xml><?xml version="1.0" encoding="utf-8"?>
<w:document xmlns:w="http://schemas.openxmlformats.org/wordprocessingml/2006/main">
  <w:body>
    <w:p>
      <w:r>
        <w:rPr>
          <w:b/>
        </w:rPr>
        <w:r>
          <w:rPr/>
          <w:t xml:space="preserve">2957</w:t>
        </w:r>
      </w:r>
      <w:r>
        <w:rPr>
          <w:b/>
        </w:rPr>
        <w:t xml:space="preserve"> </w:t>
        <w:t xml:space="preserve">AMH</w:t>
      </w:r>
      <w:r>
        <w:rPr>
          <w:b/>
        </w:rPr>
        <w:t xml:space="preserve"> </w:t>
        <w:r>
          <w:rPr/>
          <w:t xml:space="preserve">BLAK</w:t>
        </w:r>
      </w:r>
      <w:r>
        <w:rPr>
          <w:b/>
        </w:rPr>
        <w:t xml:space="preserve"> </w:t>
        <w:r>
          <w:rPr/>
          <w:t xml:space="preserve">H4832.1</w:t>
        </w:r>
      </w:r>
      <w:r>
        <w:rPr>
          <w:b/>
        </w:rPr>
        <w:t xml:space="preserve"> - NOT FOR FLOOR USE</w:t>
      </w:r>
    </w:p>
    <w:p>
      <w:pPr>
        <w:ind w:left="0" w:right="0" w:firstLine="576"/>
      </w:pPr>
    </w:p>
    <w:p>
      <w:pPr>
        <w:spacing w:before="480" w:after="0" w:line="408" w:lineRule="exact"/>
      </w:pPr>
      <w:r>
        <w:rPr>
          <w:b/>
          <w:u w:val="single"/>
        </w:rPr>
        <w:t xml:space="preserve">HB 2957</w:t>
      </w:r>
      <w:r>
        <w:t xml:space="preserve"> -</w:t>
      </w:r>
      <w:r>
        <w:t xml:space="preserve"> </w:t>
        <w:t xml:space="preserve">H AMD</w:t>
      </w:r>
      <w:r>
        <w:t xml:space="preserve"> </w:t>
      </w:r>
      <w:r>
        <w:rPr>
          <w:b/>
        </w:rPr>
        <w:t xml:space="preserve">1068</w:t>
      </w:r>
    </w:p>
    <w:p>
      <w:pPr>
        <w:spacing w:before="0" w:after="0" w:line="408" w:lineRule="exact"/>
        <w:ind w:left="0" w:right="0" w:firstLine="576"/>
        <w:jc w:val="left"/>
      </w:pPr>
      <w:r>
        <w:rPr/>
        <w:t xml:space="preserve">By Representative Blake</w:t>
      </w:r>
    </w:p>
    <w:p>
      <w:pPr>
        <w:jc w:val="right"/>
      </w:pPr>
      <w:r>
        <w:rPr>
          <w:b/>
        </w:rPr>
        <w:t xml:space="preserve">ADOPTED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Recent developments have thrown into stark relief the threat that nonnative marine finfish aquaculture may pose to Washington's native salmon populations. But just as evidence has emerged that nonnative marine finfish aquaculture may endanger Washington's native salmon populations, so too has evidence emerged that marine finfish aquaculture in general may pose unacceptable risks not only to Washington's native salmon populations but also to the broader health of Washington's marine environment. Given this evidence, the legislature intends to phase out nonnative finfish aquaculture in Washington's marine waters. Because the state of the science and engineering with regard to marine finfish aquaculture may be evolving, the legislature further intends to study this issue in greater depth, and to revisit the issue of marine finfish aquaculture once additional research becomes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department may not allow nonnative marine finfish aquaculture as an authorized use under any new lease or other use authorization.</w:t>
      </w:r>
    </w:p>
    <w:p>
      <w:pPr>
        <w:spacing w:before="0" w:after="0" w:line="408" w:lineRule="exact"/>
        <w:ind w:left="0" w:right="0" w:firstLine="576"/>
        <w:jc w:val="left"/>
      </w:pPr>
      <w:r>
        <w:rPr/>
        <w:t xml:space="preserve">(2) The department may not renew or extend a lease or other use authorization in existence on the effective date of this section where the use includes nonnative marine finfish aquaculture.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authorize or permit activities associated with the use of marine net pens for nonnative marine finfish aquaculture only if these activities are performed under a lease of state-owned aquatic lands in effect on the effective date of this section. The department may not authorize or permit any of these activities or operations after the expiration date of the relevant lease of state-owned aquatic lands in effect on the effective date of this section. </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issue national pollutant discharge elimination system permits associated with nonnative marine finfish aquaculture only if these activities are performed under a lease of state-owned aquatic lands in effect on the effective date of this section. The department may not issue national pollutant discharge elimination system permits in connection with any of these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agriculture, and fish and wildlife, as well as the department of natural resources, shall continue the existing effort to update guidance and informational resources to industry and governments for planning and permitting commercial marine net pen aquaculture. As part of this effort, the departments shall seek advice and technical assistance from the Northwest Indian fisheries commission, and the national centers for coastal ocean science, and shall invite consultation and participation from the University of Washington school of aquatic and fishery sciences, Western Washington University, Washington State University, Northwest Indian College, and additional authorities, as appropriate, including federally recognized Indian tribes. The guidance must be designed to eliminate commercial marine net pen escapement and to eliminate negative impacts to water quality and native fish, shellfish, and wildlife. At a minimum, the guidance must address the following topics:</w:t>
      </w:r>
    </w:p>
    <w:p>
      <w:pPr>
        <w:spacing w:before="0" w:after="0" w:line="408" w:lineRule="exact"/>
        <w:ind w:left="0" w:right="0" w:firstLine="576"/>
        <w:jc w:val="left"/>
      </w:pPr>
      <w:r>
        <w:rPr/>
        <w:t xml:space="preserve">(a) Local shoreline permitting;</w:t>
      </w:r>
    </w:p>
    <w:p>
      <w:pPr>
        <w:spacing w:before="0" w:after="0" w:line="408" w:lineRule="exact"/>
        <w:ind w:left="0" w:right="0" w:firstLine="576"/>
        <w:jc w:val="left"/>
      </w:pPr>
      <w:r>
        <w:rPr/>
        <w:t xml:space="preserve">(b) Water quality;</w:t>
      </w:r>
    </w:p>
    <w:p>
      <w:pPr>
        <w:spacing w:before="0" w:after="0" w:line="408" w:lineRule="exact"/>
        <w:ind w:left="0" w:right="0" w:firstLine="576"/>
        <w:jc w:val="left"/>
      </w:pPr>
      <w:r>
        <w:rPr/>
        <w:t xml:space="preserve">(c) The state of the science concerning marine finfish aquaculture impacts on native fish, shellfish, and wildlife;</w:t>
      </w:r>
    </w:p>
    <w:p>
      <w:pPr>
        <w:spacing w:before="0" w:after="0" w:line="408" w:lineRule="exact"/>
        <w:ind w:left="0" w:right="0" w:firstLine="576"/>
        <w:jc w:val="left"/>
      </w:pPr>
      <w:r>
        <w:rPr/>
        <w:t xml:space="preserve">(d) Best management practices for the safe and effective operation of finfish aquaculture in the marine environment;</w:t>
      </w:r>
    </w:p>
    <w:p>
      <w:pPr>
        <w:spacing w:before="0" w:after="0" w:line="408" w:lineRule="exact"/>
        <w:ind w:left="0" w:right="0" w:firstLine="576"/>
        <w:jc w:val="left"/>
      </w:pPr>
      <w:r>
        <w:rPr/>
        <w:t xml:space="preserve">(e) Interagency coordination in permitting, inspections, and enforcement; and</w:t>
      </w:r>
    </w:p>
    <w:p>
      <w:pPr>
        <w:spacing w:before="0" w:after="0" w:line="408" w:lineRule="exact"/>
        <w:ind w:left="0" w:right="0" w:firstLine="576"/>
        <w:jc w:val="left"/>
      </w:pPr>
      <w:r>
        <w:rPr/>
        <w:t xml:space="preserve">(f) Recommendations for future legislative oversight of marine finfish net pen aquaculture.</w:t>
      </w:r>
    </w:p>
    <w:p>
      <w:pPr>
        <w:spacing w:before="0" w:after="0" w:line="408" w:lineRule="exact"/>
        <w:ind w:left="0" w:right="0" w:firstLine="576"/>
        <w:jc w:val="left"/>
      </w:pPr>
      <w:r>
        <w:rPr/>
        <w:t xml:space="preserve">(2) The departments must report to the legislature, consistent with RCW 43.01.036, by November 1, 2019.</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3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For marine finfish aquaculture,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finfish, the director may require the operator to remove fish or deny a fish transfer permit."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the intent of the Legislature to phase out nonnative marine finfish aquaculture and to revisit the issue of marine finfish aquaculture once additional research becomes available.</w:t>
      </w:r>
    </w:p>
    <w:p>
      <w:pPr>
        <w:spacing w:before="0" w:after="0" w:line="408" w:lineRule="exact"/>
        <w:ind w:left="0" w:right="0" w:firstLine="576"/>
        <w:jc w:val="left"/>
      </w:pPr>
      <w:r>
        <w:rPr/>
        <w:t xml:space="preserve">Prohibits the Department of Natural Resources (DNR) from entering into a new lease, or renewing or extending an existing lease, where the use includes nonnative marine finfish aquaculture.</w:t>
      </w:r>
    </w:p>
    <w:p>
      <w:pPr>
        <w:spacing w:before="0" w:after="0" w:line="408" w:lineRule="exact"/>
        <w:ind w:left="0" w:right="0" w:firstLine="576"/>
        <w:jc w:val="left"/>
      </w:pPr>
      <w:r>
        <w:rPr/>
        <w:t xml:space="preserve">Authorizes the Department of Fish and Wildlife (WDFW) to permit activities associated with the use of marine net pens for nonnative marine finfish aquaculture only if such activities are performed in connection with a lease of state-owned aquatic lands in effect as of the effective date of the act.</w:t>
      </w:r>
    </w:p>
    <w:p>
      <w:pPr>
        <w:spacing w:before="0" w:after="0" w:line="408" w:lineRule="exact"/>
        <w:ind w:left="0" w:right="0" w:firstLine="576"/>
        <w:jc w:val="left"/>
      </w:pPr>
      <w:r>
        <w:rPr/>
        <w:t xml:space="preserve">Authorizes the Department of Ecology (Ecology) to issue National Pollutant Discharge Elimination System permits associated with nonnative marine finfish aquaculture only if such activities are performed in connection with a lease of state-owned aquatic lands in effect as of the effective date of the act.</w:t>
      </w:r>
    </w:p>
    <w:p>
      <w:pPr>
        <w:spacing w:before="0" w:after="0" w:line="408" w:lineRule="exact"/>
        <w:ind w:left="0" w:right="0" w:firstLine="576"/>
        <w:jc w:val="left"/>
      </w:pPr>
      <w:r>
        <w:rPr/>
        <w:t xml:space="preserve">Requires Ecology, WDFW, DNR, and the Department of Agriculture (WSDA) to continue the existing effort to update guidance for planning and permitting commercial marine net pen aquaculture. Requires the departments to continue to seek advice and technical assistance from the Northwest Indian Fisheries Commission, and the National Centers for Coastal Ocean Science, and to invite consultation and participation from the University of Washington school of aquatic and fishery sciences, Western Washington University, Washington State University, Northwest Indian College, and additional authorities, as appropriate, including federally recognized Indian tribes. Requires the guidance to address the following topics, among others: The state of the science concerning marine finfish aquaculture impacts on native fish, shellfish, and wildlife; best management practices for the safe and effective operation of finfish aquaculture in the marine environment; and recommendations for future legislative oversight of marine finfish net pen aquaculture. Requires the Departments to submit a report containing the recommendations to the Legislature by November 1, 2019.</w:t>
      </w:r>
    </w:p>
    <w:p>
      <w:pPr>
        <w:spacing w:before="0" w:after="0" w:line="408" w:lineRule="exact"/>
        <w:ind w:left="0" w:right="0" w:firstLine="576"/>
        <w:jc w:val="left"/>
      </w:pPr>
      <w:r>
        <w:rPr/>
        <w:t xml:space="preserve">Requires WSDA and WDFW to implement various statutes concerning fish and aquaculture consistent with the phase out of nonnative marine finfish aquaculture contained in the act.</w:t>
      </w:r>
    </w:p>
    <w:p>
      <w:pPr>
        <w:spacing w:before="0" w:after="0" w:line="408" w:lineRule="exact"/>
        <w:ind w:left="0" w:right="0" w:firstLine="576"/>
        <w:jc w:val="left"/>
      </w:pPr>
      <w:r>
        <w:rPr/>
        <w:t xml:space="preserve">Provides that separation from employment as a result of the act qualifies a person as a dislocated worker for the purposes of the Training Benefits Program, which provides extended unemployment benefits while a person participates in approved training for another career.</w:t>
      </w:r>
    </w:p>
    <w:p>
      <w:pPr>
        <w:spacing w:before="0" w:after="0" w:line="408" w:lineRule="exact"/>
        <w:ind w:left="0" w:right="0" w:firstLine="576"/>
        <w:jc w:val="left"/>
      </w:pPr>
      <w:r>
        <w:rPr/>
        <w:t xml:space="preserve">Requires any marine finfish aquaculture facility permitted by WDFW to be periodically inspected by a marine engineering firm.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387643d44417b" /></Relationships>
</file>