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a028453ca45fa" /></Relationships>
</file>

<file path=word/document.xml><?xml version="1.0" encoding="utf-8"?>
<w:document xmlns:w="http://schemas.openxmlformats.org/wordprocessingml/2006/main">
  <w:body>
    <w:p>
      <w:r>
        <w:rPr>
          <w:b/>
        </w:rPr>
        <w:r>
          <w:rPr/>
          <w:t xml:space="preserve">5394-S</w:t>
        </w:r>
      </w:r>
      <w:r>
        <w:rPr>
          <w:b/>
        </w:rPr>
        <w:t xml:space="preserve"> </w:t>
        <w:t xml:space="preserve">AMH</w:t>
      </w:r>
      <w:r>
        <w:rPr>
          <w:b/>
        </w:rPr>
        <w:t xml:space="preserve"> </w:t>
        <w:r>
          <w:rPr/>
          <w:t xml:space="preserve">AGNR</w:t>
        </w:r>
      </w:r>
      <w:r>
        <w:rPr>
          <w:b/>
        </w:rPr>
        <w:t xml:space="preserve"> </w:t>
        <w:r>
          <w:rPr/>
          <w:t xml:space="preserve">H2486.1</w:t>
        </w:r>
      </w:r>
      <w:r>
        <w:rPr>
          <w:b/>
        </w:rPr>
        <w:t xml:space="preserve"> - NOT FOR FLOOR USE</w:t>
      </w:r>
    </w:p>
    <w:p>
      <w:pPr>
        <w:ind w:left="0" w:right="0" w:firstLine="576"/>
      </w:pPr>
    </w:p>
    <w:p>
      <w:pPr>
        <w:spacing w:before="480" w:after="0" w:line="408" w:lineRule="exact"/>
      </w:pPr>
      <w:r>
        <w:rPr>
          <w:b/>
          <w:u w:val="single"/>
        </w:rPr>
        <w:t xml:space="preserve">SSB 5394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2011 c 218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 landowners willing to sell or donate </w:t>
      </w:r>
      <w:r>
        <w:t>((</w:t>
      </w:r>
      <w:r>
        <w:rPr>
          <w:strike/>
        </w:rPr>
        <w:t xml:space="preserve">such</w:t>
      </w:r>
      <w:r>
        <w:t>))</w:t>
      </w:r>
      <w:r>
        <w:rPr/>
        <w:t xml:space="preserve"> easements to the state provided that the state will not be required to acquire </w:t>
      </w:r>
      <w:r>
        <w:t>((</w:t>
      </w:r>
      <w:r>
        <w:rPr>
          <w:strike/>
        </w:rPr>
        <w:t xml:space="preserve">such</w:t>
      </w:r>
      <w:r>
        <w:t>))</w:t>
      </w:r>
      <w:r>
        <w:rPr/>
        <w:t xml:space="preserve"> </w:t>
      </w:r>
      <w:r>
        <w:rPr>
          <w:u w:val="single"/>
        </w:rPr>
        <w:t xml:space="preserve">the</w:t>
      </w:r>
      <w:r>
        <w:rPr/>
        <w:t xml:space="preserve"> easements if they are subject to unacceptable liabilities. </w:t>
      </w:r>
      <w:r>
        <w:rPr>
          <w:u w:val="single"/>
        </w:rPr>
        <w:t xml:space="preserve">Therefore t</w:t>
      </w:r>
      <w:r>
        <w:rPr/>
        <w:t xml:space="preserve">he legislature </w:t>
      </w:r>
      <w:r>
        <w:t>((</w:t>
      </w:r>
      <w:r>
        <w:rPr>
          <w:strike/>
        </w:rPr>
        <w:t xml:space="preserve">therefore</w:t>
      </w:r>
      <w:r>
        <w:t>))</w:t>
      </w:r>
      <w:r>
        <w:rPr/>
        <w:t xml:space="preserv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 landowner.</w:t>
      </w:r>
    </w:p>
    <w:p>
      <w:pPr>
        <w:spacing w:before="0" w:after="0" w:line="408" w:lineRule="exact"/>
        <w:ind w:left="0" w:right="0" w:firstLine="576"/>
        <w:jc w:val="left"/>
      </w:pPr>
      <w:r>
        <w:rPr/>
        <w:t xml:space="preserve">(b) "Qualifying small forest landowner"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 landowner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 landowner is willing to grant the state a forestry riparian easement and </w:t>
      </w:r>
      <w:r>
        <w:t>((</w:t>
      </w:r>
      <w:r>
        <w:rPr>
          <w:strike/>
        </w:rPr>
        <w:t xml:space="preserve">must</w:t>
      </w:r>
      <w:r>
        <w:t>))</w:t>
      </w:r>
      <w:r>
        <w:rPr/>
        <w:t xml:space="preserve"> meet</w:t>
      </w:r>
      <w:r>
        <w:rPr>
          <w:u w:val="single"/>
        </w:rPr>
        <w:t xml:space="preserve">s</w:t>
      </w:r>
      <w:r>
        <w:rPr/>
        <w:t xml:space="preserve"> all of the following:</w:t>
      </w:r>
    </w:p>
    <w:p>
      <w:pPr>
        <w:spacing w:before="0" w:after="0" w:line="408" w:lineRule="exact"/>
        <w:ind w:left="0" w:right="0" w:firstLine="576"/>
        <w:jc w:val="left"/>
      </w:pPr>
      <w:r>
        <w:rPr/>
        <w:t xml:space="preserve">(i) The forest trees are covered by a forest practices application that the small forest landowner is required to leave unharvested under the rules adopted under RCW </w:t>
      </w:r>
      <w:r>
        <w:rPr>
          <w:u w:val="single"/>
        </w:rPr>
        <w:t xml:space="preserve">76.09.040,</w:t>
      </w:r>
      <w:r>
        <w:rPr/>
        <w:t xml:space="preserve"> 76.09.055</w:t>
      </w:r>
      <w:r>
        <w:rPr>
          <w:u w:val="single"/>
        </w:rPr>
        <w:t xml:space="preserve">,</w:t>
      </w:r>
      <w:r>
        <w:rPr/>
        <w:t xml:space="preserve">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 landowner" means a landowner meeting all of the following characteristics:</w:t>
      </w:r>
    </w:p>
    <w:p>
      <w:pPr>
        <w:spacing w:before="0" w:after="0" w:line="408" w:lineRule="exact"/>
        <w:ind w:left="0" w:right="0" w:firstLine="576"/>
        <w:jc w:val="left"/>
      </w:pPr>
      <w:r>
        <w:rPr/>
        <w:t xml:space="preserve">(i) A forest landowner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 landowner. For purposes of determining whether a person qualifies as a small forest landowner, the small forest landowner office, created in RCW 76.13.110, shall evaluate the landowner under this definition, pursuant to RCW 76.13.160, as of the date that the forest practices application is submitted and the date that the department offers compensation for the forestry riparian easement. A small forest landowner can include an individual, partnership, corporation, or other nongovernmental legal entity. If a landowner grants timber rights to another entity for less than five years, the landowner may still qualify as a small forest landowner under this section. If a landowner is unable to obtain an approved forest practices application for timber harvest for any of his or her land because of restrictions under the forest practices rules, the landowner may still qualify as a small forest landowner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 landowners covering qualifying timber and to pay compensation to </w:t>
      </w:r>
      <w:r>
        <w:t>((</w:t>
      </w:r>
      <w:r>
        <w:rPr>
          <w:strike/>
        </w:rPr>
        <w:t xml:space="preserve">such</w:t>
      </w:r>
      <w:r>
        <w:t>))</w:t>
      </w:r>
      <w:r>
        <w:rPr/>
        <w:t xml:space="preserve"> </w:t>
      </w:r>
      <w:r>
        <w:rPr>
          <w:u w:val="single"/>
        </w:rPr>
        <w:t xml:space="preserve">the</w:t>
      </w:r>
      <w:r>
        <w:rPr/>
        <w:t xml:space="preserv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 landowner office shall determine what constitutes a completed application for a forestry riparian easement. </w:t>
      </w:r>
      <w:r>
        <w:t>((</w:t>
      </w:r>
      <w:r>
        <w:rPr>
          <w:strike/>
        </w:rPr>
        <w:t xml:space="preserve">Such</w:t>
      </w:r>
      <w:r>
        <w:t>))</w:t>
      </w:r>
      <w:r>
        <w:rPr/>
        <w:t xml:space="preserve"> </w:t>
      </w:r>
      <w:r>
        <w:rPr>
          <w:u w:val="single"/>
        </w:rPr>
        <w:t xml:space="preserve">A</w:t>
      </w:r>
      <w:r>
        <w:rPr/>
        <w:t xml:space="preserve">n application shall, at a minimum, include documentation of the owner's status as a qualifying small forest landowner,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 landowner's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 landowner office </w:t>
      </w:r>
      <w:r>
        <w:t>((</w:t>
      </w:r>
      <w:r>
        <w:rPr>
          <w:strike/>
        </w:rPr>
        <w:t xml:space="preserve">shall</w:t>
      </w:r>
      <w:r>
        <w:t>))</w:t>
      </w:r>
      <w:r>
        <w:rPr/>
        <w:t xml:space="preserve"> </w:t>
      </w:r>
      <w:r>
        <w:rPr>
          <w:u w:val="single"/>
        </w:rPr>
        <w:t xml:space="preserve">must</w:t>
      </w:r>
      <w:r>
        <w:rPr/>
        <w:t xml:space="preserve"> determine the compensation to be offered to the qualifying small forest landowner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 landowner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 landowner office and using data obtained or maintained by the department of revenue under RCW 84.33.074 and 84.33.091, the small forest landowner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 landowner office shall offer compensation for qualifying timber to the qualifying small forest landowner in the amount of fifty percent of the value determined by the small forest landowner office, plus the compliance and reimbursement costs as determined in accordance with RCW 76.13.140. However, compensation for any qualifying small forest landowner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 landowners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 landowner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 landowners, and the small forest landowner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 landowner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may be part of the state's overall carbon sequestration strategy. If the state creates a climate strategy, the department must share information regarding the carbon sequestration benefits of the forest riparian easement program with other state programs using methods and protocols established in the state climate strategy that attempt to quantify carbon storage or account for carbon emissions. The department must promote the expansion of funding for the forest riparian easement program and the ecosystem services supported by the program based on the findings stated in RCW 76.13.100. Nothing in this subsection allows a landowner to be reimbursed by the state more than once for the same forest riparian easement application.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the department of natural resources (DNR), in the event that the state adopts a climate strategy, to share information regarding the carbon sequestration benefits of the forest riparian easement program using methods and protocols established in the state climate strategy that attempt to quantify carbon storage or account for carbon emissions. Directs the DNR to promote the expansion of funding for the forest riparian easement program and the ecosystem services supported by the program. Prohibits the state from reimbursing a landowner more than once for the same riparian easement application.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bcff9f7c5423c" /></Relationships>
</file>