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837e7dfa042e7" /></Relationships>
</file>

<file path=word/document.xml><?xml version="1.0" encoding="utf-8"?>
<w:document xmlns:w="http://schemas.openxmlformats.org/wordprocessingml/2006/main">
  <w:body>
    <w:p>
      <w:r>
        <w:rPr>
          <w:b/>
        </w:rPr>
        <w:r>
          <w:rPr/>
          <w:t xml:space="preserve">5513-S.E</w:t>
        </w:r>
      </w:r>
      <w:r>
        <w:rPr>
          <w:b/>
        </w:rPr>
        <w:t xml:space="preserve"> </w:t>
        <w:t xml:space="preserve">AMH</w:t>
      </w:r>
      <w:r>
        <w:rPr>
          <w:b/>
        </w:rPr>
        <w:t xml:space="preserve"> </w:t>
        <w:r>
          <w:rPr/>
          <w:t xml:space="preserve">SPRI</w:t>
        </w:r>
      </w:r>
      <w:r>
        <w:rPr>
          <w:b/>
        </w:rPr>
        <w:t xml:space="preserve"> </w:t>
        <w:r>
          <w:rPr/>
          <w:t xml:space="preserve">H5119.1</w:t>
        </w:r>
      </w:r>
      <w:r>
        <w:rPr>
          <w:b/>
        </w:rPr>
        <w:t xml:space="preserve"> - NOT FOR FLOOR USE</w:t>
      </w:r>
    </w:p>
    <w:p>
      <w:pPr>
        <w:ind w:left="0" w:right="0" w:firstLine="576"/>
      </w:pPr>
    </w:p>
    <w:p>
      <w:pPr>
        <w:spacing w:before="480" w:after="0" w:line="408" w:lineRule="exact"/>
      </w:pPr>
      <w:r>
        <w:rPr>
          <w:b/>
          <w:u w:val="single"/>
        </w:rPr>
        <w:t xml:space="preserve">ESSB 5513</w:t>
      </w:r>
      <w:r>
        <w:t xml:space="preserve"> -</w:t>
      </w:r>
      <w:r>
        <w:t xml:space="preserve"> </w:t>
        <w:t xml:space="preserve">H AMD</w:t>
      </w:r>
      <w:r>
        <w:t xml:space="preserve"> </w:t>
      </w:r>
      <w:r>
        <w:rPr>
          <w:b/>
        </w:rPr>
        <w:t xml:space="preserve">1333</w:t>
      </w:r>
    </w:p>
    <w:p>
      <w:pPr>
        <w:spacing w:before="0" w:after="0" w:line="408" w:lineRule="exact"/>
        <w:ind w:left="0" w:right="0" w:firstLine="576"/>
        <w:jc w:val="left"/>
      </w:pPr>
      <w:r>
        <w:rPr/>
        <w:t xml:space="preserve">By Representative Springer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2019</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t>((</w:t>
      </w:r>
      <w:r>
        <w:rPr>
          <w:strike/>
        </w:rPr>
        <w:t xml:space="preserve">exemptions</w:t>
      </w:r>
      <w:r>
        <w:t>))</w:t>
      </w:r>
      <w:r>
        <w:rPr/>
        <w:t xml:space="preserve"> </w:t>
      </w:r>
      <w:r>
        <w:rPr>
          <w:u w:val="single"/>
        </w:rPr>
        <w:t xml:space="preserve">preferences</w:t>
      </w:r>
      <w:r>
        <w:rPr/>
        <w:t xml:space="preserve">. The listing must include</w:t>
      </w:r>
      <w:r>
        <w:rPr>
          <w:u w:val="single"/>
        </w:rPr>
        <w:t xml:space="preserve">:</w:t>
      </w:r>
    </w:p>
    <w:p>
      <w:pPr>
        <w:spacing w:before="0" w:after="0" w:line="408" w:lineRule="exact"/>
        <w:ind w:left="0" w:right="0" w:firstLine="576"/>
        <w:jc w:val="left"/>
      </w:pPr>
      <w:r>
        <w:rPr>
          <w:u w:val="single"/>
        </w:rPr>
        <w:t xml:space="preserve">(a) A</w:t>
      </w:r>
      <w:r>
        <w:rPr/>
        <w:t xml:space="preserve">n estimate of the revenue lost from the tax </w:t>
      </w:r>
      <w:r>
        <w:t>((</w:t>
      </w:r>
      <w:r>
        <w:rPr>
          <w:strike/>
        </w:rPr>
        <w:t xml:space="preserve">exemption,</w:t>
      </w:r>
      <w:r>
        <w:t>))</w:t>
      </w:r>
      <w:r>
        <w:rPr/>
        <w:t xml:space="preserve"> </w:t>
      </w:r>
      <w:r>
        <w:rPr>
          <w:u w:val="single"/>
        </w:rPr>
        <w:t xml:space="preserve">preference;</w:t>
      </w:r>
    </w:p>
    <w:p>
      <w:pPr>
        <w:spacing w:before="0" w:after="0" w:line="408" w:lineRule="exact"/>
        <w:ind w:left="0" w:right="0" w:firstLine="576"/>
        <w:jc w:val="left"/>
      </w:pPr>
      <w:r>
        <w:rPr>
          <w:u w:val="single"/>
        </w:rPr>
        <w:t xml:space="preserve">(b) T</w:t>
      </w:r>
      <w:r>
        <w:rPr/>
        <w:t xml:space="preserve">he purpose of the tax </w:t>
      </w:r>
      <w:r>
        <w:t>((</w:t>
      </w:r>
      <w:r>
        <w:rPr>
          <w:strike/>
        </w:rPr>
        <w:t xml:space="preserve">exemption,</w:t>
      </w:r>
      <w:r>
        <w:t>))</w:t>
      </w:r>
      <w:r>
        <w:rPr/>
        <w:t xml:space="preserve"> </w:t>
      </w:r>
      <w:r>
        <w:rPr>
          <w:u w:val="single"/>
        </w:rPr>
        <w:t xml:space="preserve">preference;</w:t>
      </w:r>
    </w:p>
    <w:p>
      <w:pPr>
        <w:spacing w:before="0" w:after="0" w:line="408" w:lineRule="exact"/>
        <w:ind w:left="0" w:right="0" w:firstLine="576"/>
        <w:jc w:val="left"/>
      </w:pPr>
      <w:r>
        <w:rPr>
          <w:u w:val="single"/>
        </w:rPr>
        <w:t xml:space="preserve">(c) T</w:t>
      </w:r>
      <w:r>
        <w:rPr/>
        <w:t xml:space="preserve">he persons, organizations, or parts of the population which benefit from the tax </w:t>
      </w:r>
      <w:r>
        <w:t>((</w:t>
      </w:r>
      <w:r>
        <w:rPr>
          <w:strike/>
        </w:rPr>
        <w:t xml:space="preserve">exemption, and</w:t>
      </w:r>
      <w:r>
        <w:t>))</w:t>
      </w:r>
      <w:r>
        <w:rPr/>
        <w:t xml:space="preserve"> </w:t>
      </w:r>
      <w:r>
        <w:rPr>
          <w:u w:val="single"/>
        </w:rPr>
        <w:t xml:space="preserve">preference;</w:t>
      </w:r>
    </w:p>
    <w:p>
      <w:pPr>
        <w:spacing w:before="0" w:after="0" w:line="408" w:lineRule="exact"/>
        <w:ind w:left="0" w:right="0" w:firstLine="576"/>
        <w:jc w:val="left"/>
      </w:pPr>
      <w:r>
        <w:rPr>
          <w:u w:val="single"/>
        </w:rPr>
        <w:t xml:space="preserve">(d) A link in an electronic copy of the report to the review of the tax preference on the web site of the joint legislative audit and review committee; and</w:t>
      </w:r>
    </w:p>
    <w:p>
      <w:pPr>
        <w:spacing w:before="0" w:after="0" w:line="408" w:lineRule="exact"/>
        <w:ind w:left="0" w:right="0" w:firstLine="576"/>
        <w:jc w:val="left"/>
      </w:pPr>
      <w:r>
        <w:rPr>
          <w:u w:val="single"/>
        </w:rPr>
        <w:t xml:space="preserve">(e) W</w:t>
      </w:r>
      <w:r>
        <w:rPr/>
        <w:t xml:space="preserve">hether or not the tax </w:t>
      </w:r>
      <w:r>
        <w:t>((</w:t>
      </w:r>
      <w:r>
        <w:rPr>
          <w:strike/>
        </w:rPr>
        <w:t xml:space="preserve">exemption</w:t>
      </w:r>
      <w:r>
        <w:t>))</w:t>
      </w:r>
      <w:r>
        <w:rPr/>
        <w:t xml:space="preserve"> </w:t>
      </w:r>
      <w:r>
        <w:rPr>
          <w:u w:val="single"/>
        </w:rPr>
        <w:t xml:space="preserve">preference</w:t>
      </w:r>
      <w:r>
        <w:rPr/>
        <w:t xml:space="preserve"> conflicts with another state program.</w:t>
      </w:r>
    </w:p>
    <w:p>
      <w:pPr>
        <w:spacing w:before="0" w:after="0" w:line="408" w:lineRule="exact"/>
        <w:ind w:left="0" w:right="0" w:firstLine="576"/>
        <w:jc w:val="left"/>
      </w:pPr>
      <w:r>
        <w:rPr>
          <w:u w:val="single"/>
        </w:rPr>
        <w:t xml:space="preserve">(2)</w:t>
      </w:r>
      <w:r>
        <w:rPr/>
        <w:t xml:space="preserve"> The listing </w:t>
      </w:r>
      <w:r>
        <w:rPr>
          <w:u w:val="single"/>
        </w:rPr>
        <w:t xml:space="preserve">required in subsection (1) of this section</w:t>
      </w:r>
      <w:r>
        <w:rPr/>
        <w:t xml:space="preserve">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of revenue must prepare the listing required by this section with the assistance of any other agencies or departments as may be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of revenue must present the listing to the ways and means committees of each house in public hearings.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in January </w:t>
      </w:r>
      <w:r>
        <w:t>((</w:t>
      </w:r>
      <w:r>
        <w:rPr>
          <w:strike/>
        </w:rPr>
        <w:t xml:space="preserve">1984</w:t>
      </w:r>
      <w:r>
        <w:t>))</w:t>
      </w:r>
      <w:r>
        <w:rPr/>
        <w:t xml:space="preserve"> </w:t>
      </w:r>
      <w:r>
        <w:rPr>
          <w:u w:val="single"/>
        </w:rPr>
        <w:t xml:space="preserve">2019</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w:t>
      </w:r>
      <w:r>
        <w:t>((</w:t>
      </w:r>
      <w:r>
        <w:rPr>
          <w:strike/>
        </w:rPr>
        <w:t xml:space="preserve">exemption. The ways and means committees of each house and the appropriate standing committee of each house must hold public hearings and take appropriate action on the recommendations submitted by the governor</w:t>
      </w:r>
      <w:r>
        <w:t>))</w:t>
      </w:r>
      <w:r>
        <w:rPr/>
        <w:t xml:space="preserve"> </w:t>
      </w:r>
      <w:r>
        <w:rPr>
          <w:u w:val="single"/>
        </w:rPr>
        <w:t xml:space="preserve">preference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used in this section, "tax </w:t>
      </w:r>
      <w:r>
        <w:t>((</w:t>
      </w:r>
      <w:r>
        <w:rPr>
          <w:strike/>
        </w:rPr>
        <w:t xml:space="preserve">exemption</w:t>
      </w:r>
      <w:r>
        <w:t>))</w:t>
      </w:r>
      <w:r>
        <w:rPr/>
        <w:t xml:space="preserve"> </w:t>
      </w:r>
      <w:r>
        <w:rPr>
          <w:u w:val="single"/>
        </w:rPr>
        <w:t xml:space="preserve">preference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t>((</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w:t>
      </w:r>
      <w:r>
        <w:t>((</w:t>
      </w:r>
      <w:r>
        <w:rPr>
          <w:strike/>
        </w:rPr>
        <w:t xml:space="preserve">shall</w:t>
      </w:r>
      <w:r>
        <w:t>))</w:t>
      </w:r>
      <w:r>
        <w:rPr/>
        <w:t xml:space="preserve"> </w:t>
      </w:r>
      <w:r>
        <w:rPr>
          <w:u w:val="single"/>
        </w:rPr>
        <w:t xml:space="preserve">must</w:t>
      </w:r>
      <w:r>
        <w:rPr/>
        <w:t xml:space="preserve"> establish and make available to the public a searchable state expenditure information web site. The state expenditure information web 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 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w:t>
      </w:r>
      <w:r>
        <w:t>((</w:t>
      </w:r>
      <w:r>
        <w:rPr>
          <w:strike/>
        </w:rPr>
        <w:t xml:space="preserve">and</w:t>
      </w:r>
      <w:r>
        <w:t>))</w:t>
      </w:r>
    </w:p>
    <w:p>
      <w:pPr>
        <w:spacing w:before="0" w:after="0" w:line="408" w:lineRule="exact"/>
        <w:ind w:left="0" w:right="0" w:firstLine="576"/>
        <w:jc w:val="left"/>
      </w:pPr>
      <w:r>
        <w:rPr/>
        <w:t xml:space="preserve">(g) </w:t>
      </w:r>
      <w:r>
        <w:rPr>
          <w:u w:val="single"/>
        </w:rPr>
        <w:t xml:space="preserve">The tax preference report issued by the department of revenue pursuant to RCW 43.06.400; and</w:t>
      </w:r>
    </w:p>
    <w:p>
      <w:pPr>
        <w:spacing w:before="0" w:after="0" w:line="408" w:lineRule="exact"/>
        <w:ind w:left="0" w:right="0" w:firstLine="576"/>
        <w:jc w:val="left"/>
      </w:pPr>
      <w:r>
        <w:rPr>
          <w:u w:val="single"/>
        </w:rPr>
        <w:t xml:space="preserve">(h)</w:t>
      </w:r>
      <w:r>
        <w:rPr/>
        <w:t xml:space="preserve">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 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 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 site must be easy to use, contain current and readily available data, and allow for review and analysis by the public. The legislative evaluation and accountability program committee must test the web site with potential users to ensure that it is easy to navigate and comprehend."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intent language. Removes the requirement to include tax exemptions in budget and outlook documents and on the web sites for the Office of Financial Management, the Office of the Governor and the Economic and Revenue Forecast Council. Requires more detailed information from the Joint Legislative Audit and Review Committee and the Citizen Commission for Performance Measurement of Tax Preference reviews to be included in the biennial report on tax preferences by the Department of Revenue. Requires the Legislative Evaluation and Accountability Program web site to include a direct link to the Department of Revenue's biennial report on tax preferences.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17918daed4187" /></Relationships>
</file>