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1f48cd6ce4fa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6313-S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LAWS</w:t>
        </w:r>
      </w:r>
      <w:r>
        <w:rPr>
          <w:b/>
        </w:rPr>
        <w:t xml:space="preserve"> </w:t>
        <w:r>
          <w:rPr/>
          <w:t xml:space="preserve">H4995.1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6313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Labor &amp; Workplace Standards</w:t>
      </w:r>
    </w:p>
    <w:p>
      <w:pPr>
        <w:jc w:val="right"/>
      </w:pPr>
      <w:r>
        <w:rPr>
          <w:b/>
        </w:rPr>
        <w:t xml:space="preserve">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44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provision of an employment contract or agreement is against public policy and is void and unenforceable if it requires an employee to waive the employee's right to publicly pursue a cause of action arising under chapter 49.60 RCW or federal antidiscrimination laws or to publicly file a complaint with the appropriate state or federal agencies, or if it requires an employee to resolve claims of discrimination in a dispute resolution process that is confidential."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996c3df484d5c" /></Relationships>
</file>