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e90f121979409c" /></Relationships>
</file>

<file path=word/document.xml><?xml version="1.0" encoding="utf-8"?>
<w:document xmlns:w="http://schemas.openxmlformats.org/wordprocessingml/2006/main">
  <w:body>
    <w:p>
      <w:r>
        <w:rPr>
          <w:b/>
        </w:rPr>
        <w:r>
          <w:rPr/>
          <w:t xml:space="preserve">6566-S</w:t>
        </w:r>
      </w:r>
      <w:r>
        <w:rPr>
          <w:b/>
        </w:rPr>
        <w:t xml:space="preserve"> </w:t>
        <w:t xml:space="preserve">AMH</w:t>
      </w:r>
      <w:r>
        <w:rPr>
          <w:b/>
        </w:rPr>
        <w:t xml:space="preserve"> </w:t>
        <w:r>
          <w:rPr/>
          <w:t xml:space="preserve">KILD</w:t>
        </w:r>
      </w:r>
      <w:r>
        <w:rPr>
          <w:b/>
        </w:rPr>
        <w:t xml:space="preserve"> </w:t>
        <w:r>
          <w:rPr/>
          <w:t xml:space="preserve">H5057.1</w:t>
        </w:r>
      </w:r>
      <w:r>
        <w:rPr>
          <w:b/>
        </w:rPr>
        <w:t xml:space="preserve"> - NOT FOR FLOOR USE</w:t>
      </w:r>
    </w:p>
    <w:p>
      <w:pPr>
        <w:ind w:left="0" w:right="0" w:firstLine="576"/>
      </w:pPr>
    </w:p>
    <w:p>
      <w:pPr>
        <w:spacing w:before="480" w:after="0" w:line="408" w:lineRule="exact"/>
      </w:pPr>
      <w:r>
        <w:rPr>
          <w:b/>
          <w:u w:val="single"/>
        </w:rPr>
        <w:t xml:space="preserve">SSB 6566</w:t>
      </w:r>
      <w:r>
        <w:t xml:space="preserve"> -</w:t>
      </w:r>
      <w:r>
        <w:t xml:space="preserve"> </w:t>
        <w:t xml:space="preserve">H AMD TO ELHS COMM AMD (H-5045.1/18)</w:t>
      </w:r>
      <w:r>
        <w:t xml:space="preserve"> </w:t>
      </w:r>
      <w:r>
        <w:rPr>
          <w:b/>
        </w:rPr>
        <w:t xml:space="preserve">1295</w:t>
      </w:r>
    </w:p>
    <w:p>
      <w:pPr>
        <w:spacing w:before="0" w:after="0" w:line="408" w:lineRule="exact"/>
        <w:ind w:left="0" w:right="0" w:firstLine="576"/>
        <w:jc w:val="left"/>
      </w:pPr>
      <w:r>
        <w:rPr/>
        <w:t xml:space="preserve">By Representative Kilduff</w:t>
      </w:r>
    </w:p>
    <w:p>
      <w:pPr>
        <w:jc w:val="right"/>
      </w:pPr>
    </w:p>
    <w:p>
      <w:pPr>
        <w:spacing w:before="0" w:after="0" w:line="408" w:lineRule="exact"/>
        <w:ind w:left="0" w:right="0" w:firstLine="576"/>
        <w:jc w:val="left"/>
      </w:pPr>
      <w:r>
        <w:rPr/>
        <w:t xml:space="preserve">On page 27, beginning on line 14 of the amendment, strike all of sections 9 and 10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2014 c 188 s 3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established by the owner of the property to have been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w:t>
      </w:r>
      <w:r>
        <w:t>((</w:t>
      </w:r>
      <w:r>
        <w:rPr>
          <w:strike/>
        </w:rPr>
        <w:t xml:space="preserve">or</w:t>
      </w:r>
      <w:r>
        <w:t>))</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r>
        <w:rPr>
          <w:u w:val="single"/>
        </w:rPr>
        <w:t xml:space="preserve">; or</w:t>
      </w:r>
    </w:p>
    <w:p>
      <w:pPr>
        <w:spacing w:before="0" w:after="0" w:line="408" w:lineRule="exact"/>
        <w:ind w:left="0" w:right="0" w:firstLine="576"/>
        <w:jc w:val="left"/>
      </w:pPr>
      <w:r>
        <w:rPr>
          <w:u w:val="single"/>
        </w:rPr>
        <w:t xml:space="preserve">(e) The property subject to seizure is any depiction of any other minor engaged in an act of sexually explicit conduct in the possession of a minor</w:t>
      </w:r>
      <w:r>
        <w:rPr/>
        <w:t xml:space="preserve">.</w:t>
      </w:r>
    </w:p>
    <w:p>
      <w:pPr>
        <w:spacing w:before="0" w:after="0" w:line="408" w:lineRule="exact"/>
        <w:ind w:left="0" w:right="0" w:firstLine="576"/>
        <w:jc w:val="left"/>
      </w:pPr>
      <w:r>
        <w:rPr/>
        <w:t xml:space="preserve">(5) In the event of seizure under subsection (4)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(6) If no person notifies the seizing law enforcement agency in writing of the person's claim of ownership or right to possession of seized items within forty-five days of the seizure, the item seized shall be deemed forfeited.</w:t>
      </w:r>
    </w:p>
    <w:p>
      <w:pPr>
        <w:spacing w:before="0" w:after="0" w:line="408" w:lineRule="exact"/>
        <w:ind w:left="0" w:right="0" w:firstLine="576"/>
        <w:jc w:val="left"/>
      </w:pPr>
      <w:r>
        <w:rPr/>
        <w:t xml:space="preserve">(7)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t xml:space="preserve">(8)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pPr>
        <w:spacing w:before="0" w:after="0" w:line="408" w:lineRule="exact"/>
        <w:ind w:left="0" w:right="0" w:firstLine="576"/>
        <w:jc w:val="left"/>
      </w:pPr>
      <w:r>
        <w:rPr/>
        <w:t xml:space="preserve">(9)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(10)(a)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(11) Forfeited property and net proceeds not required to be paid to the state treasurer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p>
    <w:p>
      <w:pPr>
        <w:spacing w:before="0" w:after="0" w:line="408" w:lineRule="exact"/>
        <w:ind w:left="0" w:right="0" w:firstLine="576"/>
        <w:jc w:val="left"/>
      </w:pPr>
      <w:r>
        <w:rPr>
          <w:u w:val="single"/>
        </w:rPr>
        <w:t xml:space="preserve">EFFECT:</w:t>
      </w:r>
      <w:r>
        <w:rPr/>
        <w:t xml:space="preserve"> Replaces the requirement that courts order forfeiture of intimate images of minors or depictions of minors engaged in an act of sexually explicit conduct in the possession of other minors with the authority for law enforcement to seize without court process a depiction of any other minor engaged in an act of sexually explicit conduct in the possession of a minor. This seizure would be subject to existing requirements regarding the seizure of depictions of minors engaged in an act of sexually explicit conduct.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4377e956bb457d" /></Relationships>
</file>