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b6a53438e4b9d" /></Relationships>
</file>

<file path=word/document.xml><?xml version="1.0" encoding="utf-8"?>
<w:document xmlns:w="http://schemas.openxmlformats.org/wordprocessingml/2006/main">
  <w:body>
    <w:p>
      <w:r>
        <w:rPr>
          <w:b/>
        </w:rPr>
        <w:r>
          <w:rPr/>
          <w:t xml:space="preserve">1439-S2.E</w:t>
        </w:r>
      </w:r>
      <w:r>
        <w:rPr>
          <w:b/>
        </w:rPr>
        <w:t xml:space="preserve"> </w:t>
        <w:t xml:space="preserve">AMS</w:t>
      </w:r>
      <w:r>
        <w:rPr>
          <w:b/>
        </w:rPr>
        <w:t xml:space="preserve"> </w:t>
        <w:r>
          <w:rPr/>
          <w:t xml:space="preserve">ENGR</w:t>
        </w:r>
      </w:r>
      <w:r>
        <w:rPr>
          <w:b/>
        </w:rPr>
        <w:t xml:space="preserve"> </w:t>
        <w:r>
          <w:rPr/>
          <w:t xml:space="preserve">S5663.E</w:t>
        </w:r>
      </w:r>
      <w:r>
        <w:rPr>
          <w:b/>
        </w:rPr>
        <w:t xml:space="preserve"> - NOT FOR FLOOR USE</w:t>
      </w:r>
    </w:p>
    <w:p>
      <w:pPr>
        <w:ind w:left="0" w:right="0" w:firstLine="576"/>
      </w:pPr>
    </w:p>
    <w:p>
      <w:pPr>
        <w:spacing w:before="480" w:after="0" w:line="408" w:lineRule="exact"/>
      </w:pPr>
      <w:r>
        <w:rPr>
          <w:b/>
          <w:u w:val="single"/>
        </w:rPr>
        <w:t xml:space="preserve">E2SHB 1439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3/1/18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2016, the student achievement council contracted with the William D. Ruckelshaus center to conduct a two-part study analyzing the system of for-profit degree-granting institutions and private vocational schools in Washington. The Ruckelshaus center issued its first report in December 2016, followed by facilitated discussions amongst agencies and stakeholders that resulted in a second report issued in 2017. This act incorporates some of the findings and recommendations from the first phase of the report, including the benefits of ensuring that recruitment advertising and materials are consistent with state and federal verified data. In addition, this act incorporates findings regarding the need for a single student complaint portal and for agencies to have timely access to trust funds for tuition recovery and other methods of responding when schools close. This act also authorizes the second part of the study, as recommended by the center, that will include discussions of agency jurisdiction and consistency and how to improve the agencies' abilities to respond to school closures.</w:t>
      </w:r>
    </w:p>
    <w:p>
      <w:pPr>
        <w:spacing w:before="0" w:after="0" w:line="408" w:lineRule="exact"/>
        <w:ind w:left="0" w:right="0" w:firstLine="576"/>
        <w:jc w:val="left"/>
      </w:pPr>
      <w:r>
        <w:rPr/>
        <w:t xml:space="preserve">(2) 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up to seventy-five thousand dollars, the student achievement council must continue administering the two-part study of for-profit degree-granting institutions and private vocational schools that was authorized under section 609, chapter 36, Laws of 2016 sp. sess.</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 The study must also contain recommendations on strengthening agencies' abilities to respond to, and protect student consumers from, school closures. Recommendations on agency responses include the use of trust funds and surety bonds for tuition recovery and other related losses.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w:t>
      </w:r>
      <w:r>
        <w:rPr>
          <w:u w:val="single"/>
        </w:rPr>
        <w:t xml:space="preserve">and section 4 of this act</w:t>
      </w:r>
      <w:r>
        <w:rPr/>
        <w:t xml:space="preserve">.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Under RCW 28B.85.020(1)(c), participation in interstate reciprocity agreements consistent with the purposes of this chapter does not delegate authority for compliance with this chapter or authority to respond to student complaints.</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or</w:t>
      </w:r>
    </w:p>
    <w:p>
      <w:pPr>
        <w:spacing w:before="0" w:after="0" w:line="408" w:lineRule="exact"/>
        <w:ind w:left="0" w:right="0" w:firstLine="576"/>
        <w:jc w:val="left"/>
      </w:pPr>
      <w:r>
        <w:rPr/>
        <w:t xml:space="preserve">(c) Violate the provision of section 5(1)(b) of this act regarding the sale of, or inducing of students to obtain, specific consumer student loan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degree-granting institution authorized to operate under this chapter must:</w:t>
      </w:r>
    </w:p>
    <w:p>
      <w:pPr>
        <w:spacing w:before="0" w:after="0" w:line="408" w:lineRule="exact"/>
        <w:ind w:left="0" w:right="0" w:firstLine="576"/>
        <w:jc w:val="left"/>
      </w:pPr>
      <w:r>
        <w:rPr/>
        <w:t xml:space="preserve">(a) Present data about its completion rates, employment rates, loan or indebtedness metrics, or its graduates' median hourly and annual earnings, the posted data consistent with the data posted on the workforce training and education coordinating board's career bridge web site or the data posted by the United States department of education, if the board or the department of education has posted such data;</w:t>
      </w:r>
    </w:p>
    <w:p>
      <w:pPr>
        <w:spacing w:before="0" w:after="0" w:line="408" w:lineRule="exact"/>
        <w:ind w:left="0" w:right="0" w:firstLine="576"/>
        <w:jc w:val="left"/>
      </w:pPr>
      <w:r>
        <w:rPr/>
        <w:t xml:space="preserve">(b)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 and</w:t>
      </w:r>
    </w:p>
    <w:p>
      <w:pPr>
        <w:spacing w:before="0" w:after="0" w:line="408" w:lineRule="exact"/>
        <w:ind w:left="0" w:right="0" w:firstLine="576"/>
        <w:jc w:val="left"/>
      </w:pPr>
      <w:r>
        <w:rPr/>
        <w:t xml:space="preserve">(c) Disclose to the council regarding any pending investigations by an oversight entity, including the nature of that investigation, within thirty days of the degree-granting institution's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institution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(2) A violation of any provision of this section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r>
        <w:rPr>
          <w:u w:val="single"/>
        </w:rPr>
        <w:t xml:space="preserve">; and</w:t>
      </w:r>
    </w:p>
    <w:p>
      <w:pPr>
        <w:spacing w:before="0" w:after="0" w:line="408" w:lineRule="exact"/>
        <w:ind w:left="0" w:right="0" w:firstLine="576"/>
        <w:jc w:val="left"/>
      </w:pPr>
      <w:r>
        <w:rPr>
          <w:u w:val="single"/>
        </w:rPr>
        <w:t xml:space="preserve">(k) Disclose to the agency regarding any pending investigations by an oversight entity, including the nature of that investigation, within thirty days of the school's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u w:val="single"/>
        </w:rPr>
        <w:t xml:space="preserve">(i) Any federal or state entity that provides financial aid to students of the institution or approves the school for participation in a financial aid program;</w:t>
      </w:r>
    </w:p>
    <w:p>
      <w:pPr>
        <w:spacing w:before="0" w:after="0" w:line="408" w:lineRule="exact"/>
        <w:ind w:left="0" w:right="0" w:firstLine="576"/>
        <w:jc w:val="left"/>
      </w:pPr>
      <w:r>
        <w:rPr>
          <w:u w:val="single"/>
        </w:rPr>
        <w:t xml:space="preserve">(ii) Any state or federal attorney general's office or department of justice;</w:t>
      </w:r>
    </w:p>
    <w:p>
      <w:pPr>
        <w:spacing w:before="0" w:after="0" w:line="408" w:lineRule="exact"/>
        <w:ind w:left="0" w:right="0" w:firstLine="576"/>
        <w:jc w:val="left"/>
      </w:pPr>
      <w:r>
        <w:rPr>
          <w:u w:val="single"/>
        </w:rPr>
        <w:t xml:space="preserve">(iii) Any regulator that approves the operation of the private vocational school;</w:t>
      </w:r>
    </w:p>
    <w:p>
      <w:pPr>
        <w:spacing w:before="0" w:after="0" w:line="408" w:lineRule="exact"/>
        <w:ind w:left="0" w:right="0" w:firstLine="576"/>
        <w:jc w:val="left"/>
      </w:pPr>
      <w:r>
        <w:rPr>
          <w:u w:val="single"/>
        </w:rPr>
        <w:t xml:space="preserve">(iv) The federal consumer financial protection bureau or the federal securities and exchange commission; and</w:t>
      </w:r>
    </w:p>
    <w:p>
      <w:pPr>
        <w:spacing w:before="0" w:after="0" w:line="408" w:lineRule="exact"/>
        <w:ind w:left="0" w:right="0" w:firstLine="576"/>
        <w:jc w:val="left"/>
      </w:pPr>
      <w:r>
        <w:rPr>
          <w:u w:val="single"/>
        </w:rPr>
        <w:t xml:space="preserve">(v) Any accrediting agency</w:t>
      </w:r>
      <w:r>
        <w:rPr/>
        <w:t xml:space="preserve">.</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does not include merely having an interest in students with loans enrolling in the institution or assisting students with financial aid matters. For purposes of this subsection, "agent" means any employee, officer, or contractor working on behalf of the institution.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presentation of data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diploma or certificate; the acceptance of a diploma or certificate by employers as a qualification for employment; the acceptance of courses, a diploma,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Violate RCW 28C.10.050(3) regarding the sale of, or inducing of students to obtain, specific consumer student loan products; or</w:t>
      </w:r>
    </w:p>
    <w:p>
      <w:pPr>
        <w:spacing w:before="0" w:after="0" w:line="408" w:lineRule="exact"/>
        <w:ind w:left="0" w:right="0" w:firstLine="576"/>
        <w:jc w:val="left"/>
      </w:pPr>
      <w:r>
        <w:rPr>
          <w:u w:val="single"/>
        </w:rPr>
        <w:t xml:space="preserve">(n) Use any official United States military logos in advertising or promotional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director shall establish, maintain, and administer a department of licensing tuition recovery trust fund created in section 10 of this act. The department of licensing tuition recovery trust fund shall be established no later than January 1, 2019. All funds collected for the department of licensing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department of licensing tuition recovery trust fund.</w:t>
      </w:r>
    </w:p>
    <w:p>
      <w:pPr>
        <w:spacing w:before="0" w:after="0" w:line="408" w:lineRule="exact"/>
        <w:ind w:left="0" w:right="0" w:firstLine="576"/>
        <w:jc w:val="left"/>
      </w:pPr>
      <w:r>
        <w:rPr/>
        <w:t xml:space="preserve">(2)(a) The director may impose a fee structure, set forth in rule, on schools licensed under this chapter to fund the department of licensing tuition recovery trust fund.</w:t>
      </w:r>
    </w:p>
    <w:p>
      <w:pPr>
        <w:spacing w:before="0" w:after="0" w:line="408" w:lineRule="exact"/>
        <w:ind w:left="0" w:right="0" w:firstLine="576"/>
        <w:jc w:val="left"/>
      </w:pPr>
      <w:r>
        <w:rPr/>
        <w:t xml:space="preserve">(b) The director must determine an amount that would be sufficient in the department of licensing tuition recovery trust fund to provide relief to students in the event of a school closure. The director shall adopt schedules of times and amounts for effecting payments of fees. To reach the amount determined, the director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department of licensing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director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the department of licensing tuition recovery trust fund.</w:t>
      </w:r>
    </w:p>
    <w:p>
      <w:pPr>
        <w:spacing w:before="0" w:after="0" w:line="408" w:lineRule="exact"/>
        <w:ind w:left="0" w:right="0" w:firstLine="576"/>
        <w:jc w:val="left"/>
      </w:pPr>
      <w:r>
        <w:rPr/>
        <w:t xml:space="preserve">(5) The department of licensing tuition recovery trust fund's liability with respect to each participating school commences on the date of the initial deposit into the department of licensing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director shall adopt by rule a matrix for calculating the deposits into the department of licensing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department of licensing tuition recovery trust fund or at any such future time that the department of licensing tuition recovery trust fund may be dissolved. All funds deposited are payable to the state for the purposes described in this section. The director shall maintain the department of licensing tuition recovery trust fund, serve appropriate notices to affected owners when scheduled deposits are due, collect deposits, and make disbursements to settle claims against the department of licensing tuition recovery trust fund.</w:t>
      </w:r>
    </w:p>
    <w:p>
      <w:pPr>
        <w:spacing w:before="0" w:after="0" w:line="408" w:lineRule="exact"/>
        <w:ind w:left="0" w:right="0" w:firstLine="576"/>
        <w:jc w:val="left"/>
      </w:pPr>
      <w:r>
        <w:rPr/>
        <w:t xml:space="preserve">(8) The director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of licensing tuition recovery trust fund is created in the custody of the state treasurer. All receipts from each school owner under section 9 of this act must be deposited into the fund. Expenditures from the fund may be used only for the purposes in section 9 of this act. Only the director or the director's designee may authorize expenditures from the fund. 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council shall establish, maintain, and administer a student achievement council tuition recovery trust fund created in section 12 of this act. All funds collected for the student achievement council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student achievement council tuition recovery trust fund.</w:t>
      </w:r>
    </w:p>
    <w:p>
      <w:pPr>
        <w:spacing w:before="0" w:after="0" w:line="408" w:lineRule="exact"/>
        <w:ind w:left="0" w:right="0" w:firstLine="576"/>
        <w:jc w:val="left"/>
      </w:pPr>
      <w:r>
        <w:rPr/>
        <w:t xml:space="preserve">(2)(a) The council may impose a fee structure, set forth in rule, on schools licensed under this chapter to fund the student achievement council tuition recovery trust fund.</w:t>
      </w:r>
    </w:p>
    <w:p>
      <w:pPr>
        <w:spacing w:before="0" w:after="0" w:line="408" w:lineRule="exact"/>
        <w:ind w:left="0" w:right="0" w:firstLine="576"/>
        <w:jc w:val="left"/>
      </w:pPr>
      <w:r>
        <w:rPr/>
        <w:t xml:space="preserve">(b) The council must determine an amount that would be sufficient in the student achievement council tuition recovery trust fund to provide relief to students in the event of a school closure. The council shall adopt schedules of times and amounts for effecting payments of fees. To reach the amount determined, the council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student achievement council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council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a student achievement council tuition recovery trust fund.</w:t>
      </w:r>
    </w:p>
    <w:p>
      <w:pPr>
        <w:spacing w:before="0" w:after="0" w:line="408" w:lineRule="exact"/>
        <w:ind w:left="0" w:right="0" w:firstLine="576"/>
        <w:jc w:val="left"/>
      </w:pPr>
      <w:r>
        <w:rPr/>
        <w:t xml:space="preserve">(5) The student achievement council tuition recovery trust fund's liability with respect to each participating school commences on the date of the initial deposit into the student achievement council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council shall adopt by rule a matrix for calculating the deposits into the student achievement council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student achievement council tuition recovery trust fund or at any such future time that the student achievement council tuition recovery trust fund may be dissolved. All funds deposited are payable to the state for the purposes described under this section. The council shall maintain the student achievement council tuition recovery trust fund, serve appropriate notices to affected owners when scheduled deposits are due, collect deposits, and make disbursements to settle claims against the student achievement council tuition recovery trust fund.</w:t>
      </w:r>
    </w:p>
    <w:p>
      <w:pPr>
        <w:spacing w:before="0" w:after="0" w:line="408" w:lineRule="exact"/>
        <w:ind w:left="0" w:right="0" w:firstLine="576"/>
        <w:jc w:val="left"/>
      </w:pPr>
      <w:r>
        <w:rPr/>
        <w:t xml:space="preserve">(8) The council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The student achievement council tuition recovery trust fund is created in the custody of the state treasurer. All receipts from fees imposed on schools licensed under this chapter and section 11 of this act must be deposited into the fund. Expenditures from the fund may be used only for the purposes in section 11 of this act. Only the council may authorize expenditures from the fund. 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Within existing resources, the student achievement council, the workforce training and education coordinating board, and the department of licensing shall collaborate to create a single portal for student complaints regarding issues related to consumer protection, disclosures, school or program closures, or other violations committed by institutions regulated by those three agencies. The persons staffing the portal shall refer complaints to the appropriate agency and work as a liaison between the student and relevant agency to assist in resolving the concerns or complaint. Each agency shall ensure that all students enrolled in, applying to enroll in, or obtaining loans at, institutions regulated by the agency are informed of the portal and how to file complaints. The persons staffing the portal will report to the legislature annually by November 1, 2018, the number of complaints and their resolution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rPr>
          <w:u w:val="single"/>
        </w:rPr>
        <w:t xml:space="preserve">the department of licensing tuition recovery trust fund,</w:t>
      </w:r>
      <w:r>
        <w:rPr/>
        <w:t xml:space="preserve">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student achievement council tuition recovery trust fund,</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80" w:after="0" w:line="408" w:lineRule="exact"/>
      </w:pPr>
      <w:r>
        <w:rPr>
          <w:b/>
          <w:u w:val="single"/>
        </w:rPr>
        <w:t xml:space="preserve">E2SHB 1439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3/1/18</w:t>
      </w:r>
    </w:p>
    <w:p>
      <w:pPr>
        <w:spacing w:before="0" w:after="0" w:line="408" w:lineRule="exact"/>
        <w:ind w:left="0" w:right="0" w:firstLine="576"/>
        <w:jc w:val="left"/>
      </w:pPr>
      <w:r>
        <w:rPr/>
        <w:t xml:space="preserve">On page 1, line 3 of the title, after "practices;" strike the remainder of the title and insert "amending RCW 28A.85.090, 28C.10.050, 28C.10.110, and 28C.10.130; reenacting and amending RCW 43.84.092; adding new sections to chapter 28B.85 RCW; adding new sections to chapter 18.16 RCW; adding a new section to chapter 28B.77 RCW; creating new sections;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163c1e2dbc42a6" /></Relationships>
</file>