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cb15bb5d547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HSMH</w:t>
        </w:r>
      </w:r>
      <w:r>
        <w:rPr>
          <w:b/>
        </w:rPr>
        <w:t xml:space="preserve"> </w:t>
        <w:r>
          <w:rPr/>
          <w:t xml:space="preserve">S2142.1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Human Services, Mental Health &amp; Housing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Human Services, Mental Health &amp; Housing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"program;" strike the remainder of the title and insert "and amending RCW 74.08A.250."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JLARC audit is removed.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58e4f4eb54583" /></Relationships>
</file>