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1e2b55588849f8" /></Relationships>
</file>

<file path=word/document.xml><?xml version="1.0" encoding="utf-8"?>
<w:document xmlns:w="http://schemas.openxmlformats.org/wordprocessingml/2006/main">
  <w:body>
    <w:p>
      <w:r>
        <w:rPr>
          <w:b/>
        </w:rPr>
        <w:r>
          <w:rPr/>
          <w:t xml:space="preserve">2519.E</w:t>
        </w:r>
      </w:r>
      <w:r>
        <w:rPr>
          <w:b/>
        </w:rPr>
        <w:t xml:space="preserve"> </w:t>
        <w:t xml:space="preserve">AMS</w:t>
      </w:r>
      <w:r>
        <w:rPr>
          <w:b/>
        </w:rPr>
        <w:t xml:space="preserve"> </w:t>
        <w:r>
          <w:rPr/>
          <w:t xml:space="preserve">ENGR</w:t>
        </w:r>
      </w:r>
      <w:r>
        <w:rPr>
          <w:b/>
        </w:rPr>
        <w:t xml:space="preserve"> </w:t>
        <w:r>
          <w:rPr/>
          <w:t xml:space="preserve">S5588.E</w:t>
        </w:r>
      </w:r>
      <w:r>
        <w:rPr>
          <w:b/>
        </w:rPr>
        <w:t xml:space="preserve"> - NOT FOR FLOOR USE</w:t>
      </w:r>
    </w:p>
    <w:p>
      <w:pPr>
        <w:ind w:left="0" w:right="0" w:firstLine="576"/>
      </w:pPr>
    </w:p>
    <w:p>
      <w:pPr>
        <w:spacing w:before="480" w:after="0" w:line="408" w:lineRule="exact"/>
      </w:pPr>
      <w:r>
        <w:rPr>
          <w:b/>
          <w:u w:val="single"/>
        </w:rPr>
        <w:t xml:space="preserve">EHB 2519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AND ENGROSSED 3/2/18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2015 c 130 s 2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w:t>
      </w:r>
      <w:r>
        <w:rPr>
          <w:u w:val="single"/>
        </w:rPr>
        <w:t xml:space="preserve">(a)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u w:val="single"/>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u w:val="single"/>
        </w:rPr>
        <w:t xml:space="preserve">(5) In confirming whether an individual is eligible to possess a firearm under this section, the law enforcement agency must review available records to determine whether the individual is an unlawful user of or addicted to any controlled substance and therefore prohibited from possessing a firearm pursuant to Title 18 U.S.C. Sec. 922(g)(3).</w:t>
      </w:r>
    </w:p>
    <w:p>
      <w:pPr>
        <w:spacing w:before="0" w:after="0" w:line="408" w:lineRule="exact"/>
        <w:ind w:left="0" w:right="0" w:firstLine="576"/>
        <w:jc w:val="left"/>
      </w:pPr>
      <w:r>
        <w:rPr>
          <w:u w:val="single"/>
        </w:rPr>
        <w:t xml:space="preserve">(6)</w:t>
      </w:r>
      <w:r>
        <w:rPr/>
        <w:t xml:space="preserve"> The provisions of chapter 130, Laws of 2015 </w:t>
      </w:r>
      <w:r>
        <w:rPr>
          <w:u w:val="single"/>
        </w:rPr>
        <w:t xml:space="preserve">and subsection (4) of this section</w:t>
      </w:r>
      <w:r>
        <w:rPr/>
        <w:t xml:space="preserve"> shall not apply to circumstances where a law enforcement officer has momentarily obtained a firearm </w:t>
      </w:r>
      <w:r>
        <w:rPr>
          <w:u w:val="single"/>
        </w:rPr>
        <w:t xml:space="preserve">or concealed pistol license</w:t>
      </w:r>
      <w:r>
        <w:rPr/>
        <w:t xml:space="preserve"> from an individual and would otherwise immediately return the firearm </w:t>
      </w:r>
      <w:r>
        <w:rPr>
          <w:u w:val="single"/>
        </w:rPr>
        <w:t xml:space="preserve">or concealed pistol license</w:t>
      </w:r>
      <w:r>
        <w:rPr/>
        <w:t xml:space="preserv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2017 c 282 s 1 and 2017 C 174 s 1 are each reenacted and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w:t>
      </w:r>
      <w:r>
        <w:rPr>
          <w:u w:val="single"/>
        </w:rPr>
        <w:t xml:space="preserve">chapters 7.90, 7.92, or 7.94 RCW, or</w:t>
      </w:r>
      <w:r>
        <w:rPr/>
        <w:t xml:space="preserve">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u w:val="single"/>
        </w:rPr>
        <w:t xml:space="preserve">A photograph of the applicant may be required as part of the application and printed on the face of the license.</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80" w:after="0" w:line="408" w:lineRule="exact"/>
      </w:pPr>
      <w:r>
        <w:rPr>
          <w:b/>
          <w:u w:val="single"/>
        </w:rPr>
        <w:t xml:space="preserve">EHB 2519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3/2/18</w:t>
      </w:r>
    </w:p>
    <w:p>
      <w:pPr>
        <w:spacing w:before="0" w:after="0" w:line="408" w:lineRule="exact"/>
        <w:ind w:left="0" w:right="0" w:firstLine="576"/>
        <w:jc w:val="left"/>
      </w:pPr>
      <w:r>
        <w:rPr/>
        <w:t xml:space="preserve">On page 1, line 2 of the title, after "requirements;" strike the remainder of the title and insert "amending RCW 9.41.345; and reenacting and amending RCW 9.41.070."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b5466ac4d24ed5" /></Relationships>
</file>