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a610526e74acd" /></Relationships>
</file>

<file path=word/document.xml><?xml version="1.0" encoding="utf-8"?>
<w:document xmlns:w="http://schemas.openxmlformats.org/wordprocessingml/2006/main">
  <w:body>
    <w:p>
      <w:r>
        <w:rPr>
          <w:b/>
        </w:rPr>
        <w:r>
          <w:rPr/>
          <w:t xml:space="preserve">2572-S2</w:t>
        </w:r>
      </w:r>
      <w:r>
        <w:rPr>
          <w:b/>
        </w:rPr>
        <w:t xml:space="preserve"> </w:t>
        <w:t xml:space="preserve">AMS</w:t>
      </w:r>
      <w:r>
        <w:rPr>
          <w:b/>
        </w:rPr>
        <w:t xml:space="preserve"> </w:t>
        <w:r>
          <w:rPr/>
          <w:t xml:space="preserve">RIVE</w:t>
        </w:r>
      </w:r>
      <w:r>
        <w:rPr>
          <w:b/>
        </w:rPr>
        <w:t xml:space="preserve"> </w:t>
        <w:r>
          <w:rPr/>
          <w:t xml:space="preserve">S6128.2</w:t>
        </w:r>
      </w:r>
      <w:r>
        <w:rPr>
          <w:b/>
        </w:rPr>
        <w:t xml:space="preserve"> - NOT FOR FLOOR USE</w:t>
      </w:r>
    </w:p>
    <w:p>
      <w:pPr>
        <w:ind w:left="0" w:right="0" w:firstLine="576"/>
      </w:pPr>
    </w:p>
    <w:p>
      <w:pPr>
        <w:spacing w:before="480" w:after="0" w:line="408" w:lineRule="exact"/>
      </w:pPr>
      <w:r>
        <w:rPr>
          <w:b/>
          <w:u w:val="single"/>
        </w:rPr>
        <w:t xml:space="preserve">2SHB 2572</w:t>
      </w:r>
      <w:r>
        <w:t xml:space="preserve"> -</w:t>
      </w:r>
      <w:r>
        <w:t xml:space="preserve"> </w:t>
        <w:t xml:space="preserve">S AMD TO WM COMM AMD (S-5788.1/18)</w:t>
      </w:r>
      <w:r>
        <w:t xml:space="preserve"> </w:t>
      </w:r>
      <w:r>
        <w:rPr>
          <w:b/>
        </w:rPr>
        <w:t xml:space="preserve">945</w:t>
      </w:r>
    </w:p>
    <w:p>
      <w:pPr>
        <w:spacing w:before="0" w:after="0" w:line="408" w:lineRule="exact"/>
        <w:ind w:left="0" w:right="0" w:firstLine="576"/>
        <w:jc w:val="left"/>
      </w:pPr>
      <w:r>
        <w:rPr/>
        <w:t xml:space="preserve">By Senator Rivers</w:t>
      </w:r>
    </w:p>
    <w:p>
      <w:pPr>
        <w:jc w:val="right"/>
      </w:pPr>
    </w:p>
    <w:p>
      <w:pPr>
        <w:spacing w:before="0" w:after="0" w:line="408" w:lineRule="exact"/>
        <w:ind w:left="0" w:right="0" w:firstLine="576"/>
        <w:jc w:val="left"/>
      </w:pPr>
      <w:r>
        <w:rPr/>
        <w:t xml:space="preserve">On page 8, after line 18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his or her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develop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 has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authority will promote the use of medication therapies and other evidence-based strategies to address the opioid epidemic in Washington state. Additionally, the authority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replicate effective approaches such as opioid hub and spoke treatment networks to broaden outreach and patient navigation with allied opioid use disorder community partners, including but not limited to: Federally accredited opioid treatment programs,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shall partner with the department of health and other state agencies to create a program with the goal to connect certified peer counselors with individuals who have had a nonfatal overdose within forty-eight hours of the overdose.</w:t>
      </w:r>
    </w:p>
    <w:p>
      <w:pPr>
        <w:spacing w:before="0" w:after="0" w:line="408" w:lineRule="exact"/>
        <w:ind w:left="0" w:right="0" w:firstLine="576"/>
        <w:jc w:val="left"/>
      </w:pPr>
      <w:r>
        <w:rPr>
          <w:u w:val="single"/>
        </w:rPr>
        <w:t xml:space="preserve">(9) To achieve the goals of subsection (3) of this section, state agencies must work together to increase outreach and education about opioid overdoses to non-English-speaking communities, this includes developing a plan to collect data on the number of overdoses for non-English speakers. The department of health must submit a report on the data collection plan with recommendations for implementation to the appropriate legislative committees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shall work with the department of health and the authority's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authority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80" w:after="0" w:line="408" w:lineRule="exact"/>
      </w:pPr>
      <w:r>
        <w:rPr>
          <w:b/>
          <w:u w:val="single"/>
        </w:rPr>
        <w:t xml:space="preserve">2SHB 2572</w:t>
      </w:r>
      <w:r>
        <w:t xml:space="preserve"> -</w:t>
      </w:r>
      <w:r>
        <w:t xml:space="preserve"> </w:t>
        <w:t xml:space="preserve">S AMD TO WM COMM AMD (S-5788.1/18)</w:t>
      </w:r>
      <w:r>
        <w:t xml:space="preserve"> </w:t>
      </w:r>
      <w:r>
        <w:rPr>
          <w:b/>
        </w:rPr>
        <w:t xml:space="preserve">945</w:t>
      </w:r>
    </w:p>
    <w:p>
      <w:pPr>
        <w:spacing w:before="0" w:after="0" w:line="408" w:lineRule="exact"/>
        <w:ind w:left="0" w:right="0" w:firstLine="576"/>
        <w:jc w:val="left"/>
      </w:pPr>
      <w:r>
        <w:rPr/>
        <w:t xml:space="preserve">By Senator Rivers</w:t>
      </w:r>
    </w:p>
    <w:p>
      <w:pPr>
        <w:jc w:val="right"/>
      </w:pPr>
    </w:p>
    <w:p>
      <w:pPr>
        <w:spacing w:before="0" w:after="0" w:line="408" w:lineRule="exact"/>
        <w:ind w:left="0" w:right="0" w:firstLine="576"/>
        <w:jc w:val="left"/>
      </w:pPr>
      <w:r>
        <w:rPr/>
        <w:t xml:space="preserve">On page 8, line 20 of the title amendment, after "insert" insert "amending RCW 69.41.095, 71.24.585, and 71.24.595;"</w:t>
      </w:r>
    </w:p>
    <w:p>
      <w:pPr>
        <w:spacing w:before="0" w:after="0" w:line="408" w:lineRule="exact"/>
        <w:ind w:left="0" w:right="0" w:firstLine="576"/>
        <w:jc w:val="left"/>
      </w:pPr>
      <w:r>
        <w:rPr>
          <w:u w:val="single"/>
        </w:rPr>
        <w:t xml:space="preserve">EFFECT:</w:t>
      </w:r>
      <w:r>
        <w:rPr/>
        <w:t xml:space="preserve"> Adds provisions that:</w:t>
      </w:r>
    </w:p>
    <w:p>
      <w:pPr>
        <w:spacing w:before="0" w:after="0" w:line="408" w:lineRule="exact"/>
        <w:ind w:left="0" w:right="0" w:firstLine="576"/>
        <w:jc w:val="left"/>
      </w:pPr>
      <w:r>
        <w:rPr/>
        <w:t xml:space="preserve">(1) Permit the Secretary of Health to issue a standing order for opioid reversal medication.</w:t>
      </w:r>
    </w:p>
    <w:p>
      <w:pPr>
        <w:spacing w:before="0" w:after="0" w:line="408" w:lineRule="exact"/>
        <w:ind w:left="0" w:right="0" w:firstLine="576"/>
        <w:jc w:val="left"/>
      </w:pPr>
      <w:r>
        <w:rPr/>
        <w:t xml:space="preserve">(2) Modify the protocols for using medication-assisted treatment for opioid use disorder.</w:t>
      </w:r>
    </w:p>
    <w:p>
      <w:pPr>
        <w:spacing w:before="0" w:after="0" w:line="408" w:lineRule="exact"/>
        <w:ind w:left="0" w:right="0" w:firstLine="576"/>
        <w:jc w:val="left"/>
      </w:pPr>
      <w:r>
        <w:rPr/>
        <w:t xml:space="preserve">(3) Require the Department of Social and Health Services, the Health Care Authority (HCA), and the Department of Health (DOH) to partner on initiatives that promote a statewide approach in addressing opioid use disorder.</w:t>
      </w:r>
    </w:p>
    <w:p>
      <w:pPr>
        <w:spacing w:before="0" w:after="0" w:line="408" w:lineRule="exact"/>
        <w:ind w:left="0" w:right="0" w:firstLine="576"/>
        <w:jc w:val="left"/>
      </w:pPr>
      <w:r>
        <w:rPr/>
        <w:t xml:space="preserve">(4) Require HCA and DOH to promote access to medication-assisted treatment for opioid use disorder.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dcf28439474071" /></Relationships>
</file>