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c5e71494c4fe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2664-S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S5830.1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2664</w:t>
      </w:r>
      <w:r>
        <w:t xml:space="preserve"> -</w:t>
      </w:r>
      <w:r>
        <w:t xml:space="preserve"> </w:t>
        <w:t xml:space="preserve">S AMD TO EENT COMM AMD (S-5425.1/18)</w:t>
      </w:r>
      <w:r>
        <w:t xml:space="preserve"> </w:t>
      </w:r>
      <w:r>
        <w:rPr>
          <w:b/>
        </w:rPr>
        <w:t xml:space="preserve">726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25 of the amendment, after "</w:t>
      </w:r>
      <w:r>
        <w:rPr>
          <w:u w:val="single"/>
        </w:rPr>
        <w:t xml:space="preserve">(9)</w:t>
      </w:r>
      <w:r>
        <w:rPr/>
        <w:t xml:space="preserve">" insert "</w:t>
      </w:r>
      <w:r>
        <w:rPr>
          <w:u w:val="single"/>
        </w:rPr>
        <w:t xml:space="preserve">A port district exercising authority under this section must prioritize telecommunications services that promote the development of broadband internet access for unserved or underserved areas located within the port district's limits.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(10)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port districts to prioritize development of broadband internet access for unserved or underserved areas.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1389dfc444ceb" /></Relationships>
</file>