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3a7c2c6d04a31"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S5466.1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781</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On page 8, after line 30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No exclusive bargaining representative may receive dues or fees unless the exclusive bargaining representative submits a report to the commission containing the following:</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No exclusive bargaining representative representing one hundred or more employees may collect dues for fees unless it annually files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may adopt rules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must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must issue an order compelling compliance and assess a fifty dollar fine for each day each report is overdue; and</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781</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"insert" strike the remainder of the title amendment and insert "amending RCW 28B.52.045, 41.56.110, 41.59.060, 41.76.045, 41.80.100, 49.39.080, and 47.64.160; adding a new section to chapter 41.58 RCW; and prescribing penalties."</w:t>
      </w:r>
    </w:p>
    <w:p>
      <w:pPr>
        <w:spacing w:before="0" w:after="0" w:line="408" w:lineRule="exact"/>
        <w:ind w:left="0" w:right="0" w:firstLine="576"/>
        <w:jc w:val="left"/>
      </w:pPr>
      <w:r>
        <w:rPr>
          <w:u w:val="single"/>
        </w:rPr>
        <w:t xml:space="preserve">EFFECT:</w:t>
      </w:r>
      <w:r>
        <w:rPr/>
        <w:t xml:space="preserve"> Prohibits an exclusive bargaining representative from collecting dues or fees unless it files a report containing contact and procedural information to the Public Employment Relations Commission (PERC). Prohibits exclusive bargaining representatives representing one hundred or more employees from collecting dues or fees unless they file an annual financial report with PERC.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2f542e7014a0a" /></Relationships>
</file>