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7b26849f54a62" /></Relationships>
</file>

<file path=word/document.xml><?xml version="1.0" encoding="utf-8"?>
<w:document xmlns:w="http://schemas.openxmlformats.org/wordprocessingml/2006/main">
  <w:body>
    <w:p>
      <w:r>
        <w:rPr>
          <w:b/>
        </w:rPr>
        <w:r>
          <w:rPr/>
          <w:t xml:space="preserve">2759.E</w:t>
        </w:r>
      </w:r>
      <w:r>
        <w:rPr>
          <w:b/>
        </w:rPr>
        <w:t xml:space="preserve"> </w:t>
        <w:t xml:space="preserve">AMS</w:t>
      </w:r>
      <w:r>
        <w:rPr>
          <w:b/>
        </w:rPr>
        <w:t xml:space="preserve"> </w:t>
        <w:r>
          <w:rPr/>
          <w:t xml:space="preserve">HUNT</w:t>
        </w:r>
      </w:r>
      <w:r>
        <w:rPr>
          <w:b/>
        </w:rPr>
        <w:t xml:space="preserve"> </w:t>
        <w:r>
          <w:rPr/>
          <w:t xml:space="preserve">S6021.1</w:t>
        </w:r>
      </w:r>
      <w:r>
        <w:rPr>
          <w:b/>
        </w:rPr>
        <w:t xml:space="preserve"> - NOT FOR FLOOR USE</w:t>
      </w:r>
    </w:p>
    <w:p>
      <w:pPr>
        <w:ind w:left="0" w:right="0" w:firstLine="576"/>
      </w:pPr>
    </w:p>
    <w:p>
      <w:pPr>
        <w:spacing w:before="480" w:after="0" w:line="408" w:lineRule="exact"/>
      </w:pPr>
      <w:r>
        <w:rPr>
          <w:b/>
          <w:u w:val="single"/>
        </w:rPr>
        <w:t xml:space="preserve">EHB 2759</w:t>
      </w:r>
      <w:r>
        <w:t xml:space="preserve"> -</w:t>
      </w:r>
      <w:r>
        <w:t xml:space="preserve"> </w:t>
        <w:t xml:space="preserve">S AMD</w:t>
      </w:r>
      <w:r>
        <w:t xml:space="preserve"> </w:t>
      </w:r>
      <w:r>
        <w:rPr>
          <w:b/>
        </w:rPr>
        <w:t xml:space="preserve">831</w:t>
      </w:r>
    </w:p>
    <w:p>
      <w:pPr>
        <w:spacing w:before="0" w:after="0" w:line="408" w:lineRule="exact"/>
        <w:ind w:left="0" w:right="0" w:firstLine="576"/>
        <w:jc w:val="left"/>
      </w:pPr>
      <w:r>
        <w:rPr/>
        <w:t xml:space="preserve">By Senator Hunt</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(3)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(j)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(j)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w:t>
      </w:r>
    </w:p>
    <w:p>
      <w:pPr>
        <w:spacing w:before="0" w:after="0" w:line="408" w:lineRule="exact"/>
        <w:ind w:left="0" w:right="0" w:firstLine="576"/>
        <w:jc w:val="left"/>
      </w:pPr>
      <w:r>
        <w:rPr/>
        <w:t xml:space="preserve">(i) Review and make recommendations to the legislature on strategies to increase the number of women serving on for-profit corporate boards with gross income of five million dollars or more; and</w:t>
      </w:r>
    </w:p>
    <w:p>
      <w:pPr>
        <w:spacing w:before="0" w:after="0" w:line="408" w:lineRule="exact"/>
        <w:ind w:left="0" w:right="0" w:firstLine="576"/>
        <w:jc w:val="left"/>
      </w:pPr>
      <w:r>
        <w:rPr/>
        <w:t xml:space="preserve">(j)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must provide staffing support to the interagency committee of state employed women, a volunteer organization that aims to better the lives of state employees by advising the governor and agencies on policies that affect state employed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women's commission must, subject to the availability of amounts appropriated for this specific purpose, work with the Washington women's history consortium to:</w:t>
      </w:r>
    </w:p>
    <w:p>
      <w:pPr>
        <w:spacing w:before="0" w:after="0" w:line="408" w:lineRule="exact"/>
        <w:ind w:left="0" w:right="0" w:firstLine="576"/>
        <w:jc w:val="left"/>
      </w:pPr>
      <w:r>
        <w:rPr/>
        <w:t xml:space="preserve">(a)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(b) Immediately begin preparations for this statewide commemoration, to include but not be limited to:</w:t>
      </w:r>
    </w:p>
    <w:p>
      <w:pPr>
        <w:spacing w:before="0" w:after="0" w:line="408" w:lineRule="exact"/>
        <w:ind w:left="0" w:right="0" w:firstLine="576"/>
        <w:jc w:val="left"/>
      </w:pPr>
      <w:r>
        <w:rPr/>
        <w:t xml:space="preserve">(i)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(ii)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(A) Learn about the importance of voting in the context of women gaining the right to vote;</w:t>
      </w:r>
    </w:p>
    <w:p>
      <w:pPr>
        <w:spacing w:before="0" w:after="0" w:line="408" w:lineRule="exact"/>
        <w:ind w:left="0" w:right="0" w:firstLine="576"/>
        <w:jc w:val="left"/>
      </w:pPr>
      <w:r>
        <w:rPr/>
        <w:t xml:space="preserve">(B) Consider the subsequent long-term impacts of women gaining the right to vote;</w:t>
      </w:r>
    </w:p>
    <w:p>
      <w:pPr>
        <w:spacing w:before="0" w:after="0" w:line="408" w:lineRule="exact"/>
        <w:ind w:left="0" w:right="0" w:firstLine="576"/>
        <w:jc w:val="left"/>
      </w:pPr>
      <w:r>
        <w:rPr/>
        <w:t xml:space="preserve">(C) Learn about the active leadership role of Washingtonians in achieving the nationwide right to vote for women;</w:t>
      </w:r>
    </w:p>
    <w:p>
      <w:pPr>
        <w:spacing w:before="0" w:after="0" w:line="408" w:lineRule="exact"/>
        <w:ind w:left="0" w:right="0" w:firstLine="576"/>
        <w:jc w:val="left"/>
      </w:pPr>
      <w:r>
        <w:rPr/>
        <w:t xml:space="preserve">(D) Honor the countless participants in the women's suffrage movement; and</w:t>
      </w:r>
    </w:p>
    <w:p>
      <w:pPr>
        <w:spacing w:before="0" w:after="0" w:line="408" w:lineRule="exact"/>
        <w:ind w:left="0" w:right="0" w:firstLine="576"/>
        <w:jc w:val="left"/>
      </w:pPr>
      <w:r>
        <w:rPr/>
        <w:t xml:space="preserve">(E) Inspire future generations to treasure their right to vote;</w:t>
      </w:r>
    </w:p>
    <w:p>
      <w:pPr>
        <w:spacing w:before="0" w:after="0" w:line="408" w:lineRule="exact"/>
        <w:ind w:left="0" w:right="0" w:firstLine="576"/>
        <w:jc w:val="left"/>
      </w:pPr>
      <w:r>
        <w:rPr/>
        <w:t xml:space="preserve">(iii)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(c) Create and distribute a portfolio of public humanities programs, and encourage others to do so, to engage Washingtonians and visitors with important aspects of the women's right to vote movement;</w:t>
      </w:r>
    </w:p>
    <w:p>
      <w:pPr>
        <w:spacing w:before="0" w:after="0" w:line="408" w:lineRule="exact"/>
        <w:ind w:left="0" w:right="0" w:firstLine="576"/>
        <w:jc w:val="left"/>
      </w:pPr>
      <w:r>
        <w:rPr/>
        <w:t xml:space="preserve">(d)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(e) Coordinate with the regional and national organizations and agencies with respect to their commemorative work;</w:t>
      </w:r>
    </w:p>
    <w:p>
      <w:pPr>
        <w:spacing w:before="0" w:after="0" w:line="408" w:lineRule="exact"/>
        <w:ind w:left="0" w:right="0" w:firstLine="576"/>
        <w:jc w:val="left"/>
      </w:pPr>
      <w:r>
        <w:rPr/>
        <w:t xml:space="preserve">(f)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(g) Administer a grant program for public agencies, educational institutions, and organizations exempt from taxation under Title 26 U.S.C. Sec. 501(c)(3) of the federal internal revenue code to assist with their commemoration activities.</w:t>
      </w:r>
    </w:p>
    <w:p>
      <w:pPr>
        <w:spacing w:before="0" w:after="0" w:line="408" w:lineRule="exact"/>
        <w:ind w:left="0" w:right="0" w:firstLine="576"/>
        <w:jc w:val="left"/>
      </w:pPr>
      <w:r>
        <w:rPr/>
        <w:t xml:space="preserve">(2) The women's commission has the following powers and may exercise them as necessary to carry out its duties under subsection (1) of this section:</w:t>
      </w:r>
    </w:p>
    <w:p>
      <w:pPr>
        <w:spacing w:before="0" w:after="0" w:line="408" w:lineRule="exact"/>
        <w:ind w:left="0" w:right="0" w:firstLine="576"/>
        <w:jc w:val="left"/>
      </w:pPr>
      <w:r>
        <w:rPr/>
        <w:t xml:space="preserve">(a) Appoint task forces and advisory committees;</w:t>
      </w:r>
    </w:p>
    <w:p>
      <w:pPr>
        <w:spacing w:before="0" w:after="0" w:line="408" w:lineRule="exact"/>
        <w:ind w:left="0" w:right="0" w:firstLine="576"/>
        <w:jc w:val="left"/>
      </w:pPr>
      <w:r>
        <w:rPr/>
        <w:t xml:space="preserve">(b) Work with staff appointed by the Washington state historical society; and</w:t>
      </w:r>
    </w:p>
    <w:p>
      <w:pPr>
        <w:spacing w:before="0" w:after="0" w:line="408" w:lineRule="exact"/>
        <w:ind w:left="0" w:right="0" w:firstLine="576"/>
        <w:jc w:val="left"/>
      </w:pPr>
      <w:r>
        <w:rPr/>
        <w:t xml:space="preserve">(c) Enter into agreements or contracts.</w:t>
      </w:r>
    </w:p>
    <w:p>
      <w:pPr>
        <w:spacing w:before="0" w:after="0" w:line="408" w:lineRule="exact"/>
        <w:ind w:left="0" w:right="0" w:firstLine="576"/>
        <w:jc w:val="left"/>
      </w:pPr>
      <w:r>
        <w:rPr/>
        <w:t xml:space="preserve">(3) Legislative members serving on any task force or advisory committee created under this section must be reimbursed for travel expenses in accordance with RCW 44.04.120.</w:t>
      </w:r>
    </w:p>
    <w:p>
      <w:pPr>
        <w:spacing w:before="0" w:after="0" w:line="408" w:lineRule="exact"/>
        <w:ind w:left="0" w:right="0" w:firstLine="576"/>
        <w:jc w:val="left"/>
      </w:pPr>
      <w:r>
        <w:rPr/>
        <w:t xml:space="preserve">(4) Representatives of state and local governments serving on any task force or advisory committee created under this section must be reimbursed pursuant to the reimbursement policies of their respective entity.</w:t>
      </w:r>
    </w:p>
    <w:p>
      <w:pPr>
        <w:spacing w:before="0" w:after="0" w:line="408" w:lineRule="exact"/>
        <w:ind w:left="0" w:right="0" w:firstLine="576"/>
        <w:jc w:val="left"/>
      </w:pPr>
      <w:r>
        <w:rPr/>
        <w:t xml:space="preserve">(5) Nonlegislative members serving on any task force or advisory committee created under this section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expires July 1, 2021."</w:t>
      </w:r>
    </w:p>
    <w:p>
      <w:pPr>
        <w:spacing w:before="480" w:after="0" w:line="408" w:lineRule="exact"/>
      </w:pPr>
      <w:r>
        <w:rPr>
          <w:b/>
          <w:u w:val="single"/>
        </w:rPr>
        <w:t xml:space="preserve">EHB 2759</w:t>
      </w:r>
      <w:r>
        <w:t xml:space="preserve"> -</w:t>
      </w:r>
      <w:r>
        <w:t xml:space="preserve"> </w:t>
        <w:t xml:space="preserve">S AMD</w:t>
      </w:r>
      <w:r>
        <w:t xml:space="preserve"> </w:t>
      </w:r>
      <w:r>
        <w:rPr>
          <w:b/>
        </w:rPr>
        <w:t xml:space="preserve">831</w:t>
      </w:r>
    </w:p>
    <w:p>
      <w:pPr>
        <w:spacing w:before="0" w:after="0" w:line="408" w:lineRule="exact"/>
        <w:ind w:left="0" w:right="0" w:firstLine="576"/>
        <w:jc w:val="left"/>
      </w:pPr>
      <w:r>
        <w:rPr/>
        <w:t xml:space="preserve">By Senator Hunt</w:t>
      </w:r>
    </w:p>
    <w:p>
      <w:pPr>
        <w:jc w:val="right"/>
      </w:pPr>
      <w:r>
        <w:rPr>
          <w:b/>
        </w:rPr>
        <w:t xml:space="preserve">ADOPTED 03/01/2018</w:t>
      </w:r>
    </w:p>
    <w:p>
      <w:pPr>
        <w:spacing w:before="0" w:after="0" w:line="408" w:lineRule="exact"/>
        <w:ind w:left="0" w:right="0" w:firstLine="576"/>
        <w:jc w:val="left"/>
      </w:pPr>
      <w:r>
        <w:rPr/>
        <w:t xml:space="preserve">On page 1, line 2 of the title, after "commission;" strike the remainder of the title and insert "adding a new chapter to Title 43 RCW; creating new sections; and providing an expiration date."</w:t>
      </w:r>
    </w:p>
    <w:p>
      <w:pPr>
        <w:spacing w:before="0" w:after="0" w:line="408" w:lineRule="exact"/>
        <w:ind w:left="0" w:right="0" w:firstLine="576"/>
        <w:jc w:val="left"/>
      </w:pPr>
      <w:r>
        <w:rPr>
          <w:u w:val="single"/>
        </w:rPr>
        <w:t xml:space="preserve">EFFECT:</w:t>
      </w:r>
      <w:r>
        <w:rPr/>
        <w:t xml:space="preserve"> (1) Removes the requirement that the first biennial report to the legislature include an analysis of pay inequity based on gender among individuals employed in the office of the governor and employees included in the Washington management service.</w:t>
      </w:r>
    </w:p>
    <w:p>
      <w:pPr>
        <w:spacing w:before="0" w:after="0" w:line="408" w:lineRule="exact"/>
        <w:ind w:left="0" w:right="0" w:firstLine="576"/>
        <w:jc w:val="left"/>
      </w:pPr>
      <w:r>
        <w:rPr/>
        <w:t xml:space="preserve">(2) Requires the Commission review and make recommendations to the legislature on strategies to increase the number of women serving on for-profit corporate boards with gross income of five million dollars or more.</w:t>
      </w:r>
    </w:p>
    <w:p>
      <w:pPr>
        <w:spacing w:before="0" w:after="0" w:line="408" w:lineRule="exact"/>
        <w:ind w:left="0" w:right="0" w:firstLine="576"/>
        <w:jc w:val="left"/>
      </w:pPr>
      <w:r>
        <w:rPr/>
        <w:t xml:space="preserve">(3) Clarifies that the Commission's executive director must report gifts, grants, and endowments from private sources to the Office of Financial Management on a regular basis.</w:t>
      </w:r>
    </w:p>
    <w:p>
      <w:pPr>
        <w:spacing w:before="0" w:after="0" w:line="408" w:lineRule="exact"/>
        <w:ind w:left="0" w:right="0" w:firstLine="576"/>
        <w:jc w:val="left"/>
      </w:pPr>
      <w:r>
        <w:rPr/>
        <w:t xml:space="preserve">(4) Requires that the Women's Commission work with the Washington Women's History Consortium to prepare for a 2020 statewide commemoration of women's suffrage,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2692e31254391" /></Relationships>
</file>