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87f31277d4f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S5916.1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125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net pen aquaculture operators with Atlantic salmon net pen operations on the effective date of this section shall receive a credit against taxes levied on such businesses in the amount of expenses incurred to transition to other aquaculture species permitted by the law."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 net pen operators required to phase out the production of Atlantic salmon aquaculture in Washington state shall receive a credit against taxes levied on such businesses in the amount of expenses incurred to transition to other aquaculture species.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769619ddc4978" /></Relationships>
</file>