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0e2e5c3dc4c1e"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ANGE</w:t>
        </w:r>
      </w:r>
      <w:r>
        <w:rPr>
          <w:b/>
        </w:rPr>
        <w:t xml:space="preserve"> </w:t>
        <w:r>
          <w:rPr/>
          <w:t xml:space="preserve">S1374.1</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 Angel</w:t>
      </w:r>
    </w:p>
    <w:p>
      <w:pPr>
        <w:jc w:val="right"/>
      </w:pPr>
      <w:r>
        <w:rPr>
          <w:b/>
        </w:rPr>
        <w:t xml:space="preserve">ADOPTED 03/01/2017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but it must be disclosed that this noninsurance benefit does not constitute an insurance funded prearrangement contract, pursuant to RCW 18.39.255;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51</w:t>
      </w:r>
    </w:p>
    <w:p>
      <w:pPr>
        <w:spacing w:before="0" w:after="0" w:line="408" w:lineRule="exact"/>
        <w:ind w:left="0" w:right="0" w:firstLine="576"/>
        <w:jc w:val="left"/>
      </w:pPr>
      <w:r>
        <w:rPr/>
        <w:t xml:space="preserve">By Senator Angel</w:t>
      </w:r>
    </w:p>
    <w:p>
      <w:pPr>
        <w:jc w:val="right"/>
      </w:pPr>
      <w:r>
        <w:rPr>
          <w:b/>
        </w:rPr>
        <w:t xml:space="preserve">ADOPTED 03/01/2017</w:t>
      </w:r>
    </w:p>
    <w:p>
      <w:pPr>
        <w:spacing w:before="0" w:after="0" w:line="408" w:lineRule="exact"/>
        <w:ind w:left="0" w:right="0" w:firstLine="576"/>
        <w:jc w:val="left"/>
      </w:pPr>
      <w:r>
        <w:rPr/>
        <w:t xml:space="preserve">On page 1, line 3 of the title, after "policies;" strike the remainder of the title and insert "and amending RCW 48.24.280 and 48.21.380."</w:t>
      </w:r>
    </w:p>
    <w:p>
      <w:pPr>
        <w:spacing w:before="0" w:after="0" w:line="408" w:lineRule="exact"/>
        <w:ind w:left="0" w:right="0" w:firstLine="576"/>
        <w:jc w:val="left"/>
      </w:pPr>
      <w:r>
        <w:rPr>
          <w:u w:val="single"/>
        </w:rPr>
        <w:t xml:space="preserve">EFFECT:</w:t>
      </w:r>
      <w:r>
        <w:rPr/>
        <w:t xml:space="preserve"> Requires disclosure that funeral planning and funeral services do not constitute an insurance funded prearrangement contract under RCW 18.39.255.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1f98b38634fb2" /></Relationships>
</file>