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eecd746e54c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S1879.1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PULLED 02/28/2017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"expression" insert ", including political campaigning, the endorsement of political candidates, or any other political activities,"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"shall" strike "not"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Political expression, including political campaigning, the endorsement of political candidates, or any other political activities, by students in school-sponsored media shall be deemed the use of public funds for political purposes, for purposes of the prohibitions of RCW 42.17A.550."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Deems political expression in school-sponsored media by students at public high schools and institutions of higher education the use of public funds for political purposes, as prohibited by statute.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ed3e66cd74c78" /></Relationships>
</file>