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cce82b2f24299" /></Relationships>
</file>

<file path=word/document.xml><?xml version="1.0" encoding="utf-8"?>
<w:document xmlns:w="http://schemas.openxmlformats.org/wordprocessingml/2006/main">
  <w:body>
    <w:p>
      <w:r>
        <w:rPr>
          <w:b/>
        </w:rPr>
        <w:r>
          <w:rPr/>
          <w:t xml:space="preserve">5096</w:t>
        </w:r>
      </w:r>
      <w:r>
        <w:rPr>
          <w:b/>
        </w:rPr>
        <w:t xml:space="preserve"> </w:t>
        <w:t xml:space="preserve">AMS</w:t>
      </w:r>
      <w:r>
        <w:rPr>
          <w:b/>
        </w:rPr>
        <w:t xml:space="preserve"> </w:t>
        <w:r>
          <w:rPr/>
          <w:t xml:space="preserve">KEIS</w:t>
        </w:r>
      </w:r>
      <w:r>
        <w:rPr>
          <w:b/>
        </w:rPr>
        <w:t xml:space="preserve"> </w:t>
        <w:r>
          <w:rPr/>
          <w:t xml:space="preserve">S2600.1</w:t>
        </w:r>
      </w:r>
      <w:r>
        <w:rPr>
          <w:b/>
        </w:rPr>
        <w:t xml:space="preserve"> - NOT FOR FLOOR USE</w:t>
      </w:r>
    </w:p>
    <w:p>
      <w:pPr>
        <w:ind w:left="0" w:right="0" w:firstLine="576"/>
      </w:pPr>
    </w:p>
    <w:p>
      <w:pPr>
        <w:spacing w:before="480" w:after="0" w:line="408" w:lineRule="exact"/>
      </w:pPr>
      <w:r>
        <w:rPr>
          <w:b/>
          <w:u w:val="single"/>
        </w:rPr>
        <w:t xml:space="preserve">SB 5096</w:t>
      </w:r>
      <w:r>
        <w:t xml:space="preserve"> -</w:t>
      </w:r>
      <w:r>
        <w:t xml:space="preserve"> </w:t>
        <w:t xml:space="preserve">S AMD TO S AMD (S-2543.4/17)</w:t>
      </w:r>
      <w:r>
        <w:t xml:space="preserve"> </w:t>
      </w:r>
      <w:r>
        <w:rPr>
          <w:b/>
        </w:rPr>
        <w:t xml:space="preserve">219</w:t>
      </w:r>
    </w:p>
    <w:p>
      <w:pPr>
        <w:spacing w:before="0" w:after="0" w:line="408" w:lineRule="exact"/>
        <w:ind w:left="0" w:right="0" w:firstLine="576"/>
        <w:jc w:val="left"/>
      </w:pPr>
      <w:r>
        <w:rPr/>
        <w:t xml:space="preserve">By Senator Keiser</w:t>
      </w:r>
    </w:p>
    <w:p>
      <w:pPr>
        <w:jc w:val="right"/>
      </w:pPr>
      <w:r>
        <w:rPr>
          <w:b/>
        </w:rPr>
        <w:t xml:space="preserve">WITHDRAWN 04/06/2017</w:t>
      </w:r>
    </w:p>
    <w:p>
      <w:pPr>
        <w:spacing w:before="0" w:after="0" w:line="408" w:lineRule="exact"/>
        <w:ind w:left="0" w:right="0" w:firstLine="576"/>
        <w:jc w:val="left"/>
      </w:pPr>
      <w:r>
        <w:rPr/>
        <w:t xml:space="preserve">On page 34, line 28 of the amendment, after "(20)" insert "(a)"</w:t>
      </w:r>
    </w:p>
    <w:p>
      <w:pPr>
        <w:spacing w:before="0" w:after="0" w:line="408" w:lineRule="exact"/>
        <w:ind w:left="0" w:right="0" w:firstLine="576"/>
        <w:jc w:val="left"/>
      </w:pPr>
      <w:r>
        <w:rPr/>
        <w:t xml:space="preserve">On page 34, after line 37 of the amendment, insert the following:</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Negotiations must also include consideration of lost local property tax value from land no longer needed but held over time by the department for extensions of these roadways as counting toward local matching funds. The memorandum of understanding must be finalized by January 1, 2018. The department must submit a copy of the memorandum of understanding to the transportation committees of the legislature and report regularly on the status of local match funding."</w:t>
      </w:r>
    </w:p>
    <w:p>
      <w:pPr>
        <w:spacing w:before="0" w:after="0" w:line="408" w:lineRule="exact"/>
        <w:ind w:left="0" w:right="0" w:firstLine="576"/>
        <w:jc w:val="left"/>
      </w:pPr>
      <w:r>
        <w:rPr>
          <w:u w:val="single"/>
        </w:rPr>
        <w:t xml:space="preserve">EFFECT:</w:t>
      </w:r>
      <w:r>
        <w:rPr/>
        <w:t xml:space="preserve"> Requires the department to develop an MOU for the Gateway project with local contributors. Outlines that the department should include a land donation as a local match, and should consider if local property tax lost from department-owned land over time should count toward a local match.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2419b76184971" /></Relationships>
</file>