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84840c8234c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207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S2593.2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WITHDRAWN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32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"(14) $91,279,000 of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and $2,048,000 of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private/local appropriation are provided solely for motor vehicle-related activities, including the collection of motor vehicle excise taxes for a regional transit authority, and related call center support staff. Important reforms related to the collection of motor vehicle excise taxes for a regional transit authority are included in chapter . . . (Senate Bill No. 5893), Laws of 2017 (regional transit authority motor vehicle excise tax administration) affecting the department's workload and interaction with millions of vehicle owners. Therefore, if chapter . . . (Senate Bill No. 5893), Laws of 2017 is not enacted by June 30, 2017, the department may not contract with a regional transit authority to collect any motor vehicle excise taxes."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if Senate Bill 5893 is not enacted by June 30, 2017, the Department of Licensing may not contract with Sound Transit to collect a motor vehicle excise tax.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43dbd6d044055" /></Relationships>
</file>