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4be2f112b444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S4363.2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"detention" insert ", except as provided in subsection (3) of this 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21, after "law" insert ", except as provided in subsection (3)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shall not apply in any county which does not have a secure crisis residential center or HOPE center within twenty-five miles of its county courthouse with an average daily occupancy rate of no greater than seventy-five percent"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2, line 22, strike all of sections 3 through 8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5596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"behavior;" strike the remainder of the title and insert "adding a new section to chapter 7.21 RCW; 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prohibition on the use of juvenile detention as a remedy for contempt of a valid court order does not apply in any county which does not have a secure crisis residential center or HOPE center within 25 miles of its county courthouse with an average daily occupancy rate of no greater than 75 percent.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b9c8949b142a2" /></Relationships>
</file>