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2a6792bc14f47"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ERIC</w:t>
        </w:r>
      </w:r>
      <w:r>
        <w:rPr>
          <w:b/>
        </w:rPr>
        <w:t xml:space="preserve"> </w:t>
        <w:r>
          <w:rPr/>
          <w:t xml:space="preserve">S1969.2</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3, after line 20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rPr/>
        <w:t xml:space="preserve">(4)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rPr/>
        <w:t xml:space="preserve">(5)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rPr/>
        <w:t xml:space="preserve">(6) "Service provider" means every corporation, company, association, joint stock association, firm, partnership, person, city, or town owning, operating, or managing any facilities used to provide and providing telecommunications or cable television service for hire, sale, or resale to the general public. Service provider includes the legal successor to any such corporation, company, association, joint stock association, firm, partnership, person, city, or town.</w:t>
      </w:r>
    </w:p>
    <w:p>
      <w:pPr>
        <w:spacing w:before="0" w:after="0" w:line="408" w:lineRule="exact"/>
        <w:ind w:left="0" w:right="0" w:firstLine="576"/>
        <w:jc w:val="left"/>
      </w:pPr>
      <w:r>
        <w:rPr/>
        <w:t xml:space="preserve">(7)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rPr/>
        <w:t xml:space="preserve">(8) </w:t>
      </w:r>
      <w:r>
        <w:rPr>
          <w:u w:val="single"/>
        </w:rPr>
        <w:t xml:space="preserve">"Themed district" means a delineated area of a city or town with a commonality of architectural elements and infrastructure reflecting the city or town's history, origins, or an artistic or place-based theme. The boundaries of a themed district must be clearly delineated in the city or town's comprehensive plan and implementing ordinance or as an overlay on the city or town's zoning map.</w:t>
      </w:r>
    </w:p>
    <w:p>
      <w:pPr>
        <w:spacing w:before="0" w:after="0" w:line="408" w:lineRule="exact"/>
        <w:ind w:left="0" w:right="0" w:firstLine="576"/>
        <w:jc w:val="left"/>
      </w:pPr>
      <w:r>
        <w:rPr>
          <w:u w:val="single"/>
        </w:rPr>
        <w:t xml:space="preserve">(9)</w:t>
      </w:r>
      <w:r>
        <w:rPr/>
        <w:t xml:space="preserve">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4 of the amendment, after "of this act." insert "No concealment, stealth, or aesthetic standards may be required through a use permit, except as follows: A city or town may adopt feasible, reasonable, objective aesthetic standards on a nondiscriminatory basis, including for locations in a designated historic district or themed district. However, that application of such standards does not have the effect of prohibiting any small cell installation meeting the volumetric standards in RCW 80.36.375(2). Further, no permits other than those listed in section 107 of this act are required."</w:t>
      </w: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46, line 32 of the title amendment, after "35.21.860," insert "35.99.010,"</w:t>
      </w:r>
    </w:p>
    <w:p>
      <w:pPr>
        <w:spacing w:before="0" w:after="0" w:line="408" w:lineRule="exact"/>
        <w:ind w:left="0" w:right="0" w:firstLine="576"/>
        <w:jc w:val="left"/>
      </w:pPr>
      <w:r>
        <w:rPr>
          <w:u w:val="single"/>
        </w:rPr>
        <w:t xml:space="preserve">EFFECT:</w:t>
      </w:r>
      <w:r>
        <w:rPr/>
        <w:t xml:space="preserve"> Adds a definition for "themed district." Allows concealment, stealth, or aesthetic standards where a city or town has adopted feasible, reasonable, and objective aesthetic standards for a designated historic or themed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8a2308bb64d0d" /></Relationships>
</file>