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a8c38974b46ee" /></Relationships>
</file>

<file path=word/document.xml><?xml version="1.0" encoding="utf-8"?>
<w:document xmlns:w="http://schemas.openxmlformats.org/wordprocessingml/2006/main">
  <w:body>
    <w:p>
      <w:r>
        <w:rPr>
          <w:b/>
        </w:rPr>
        <w:r>
          <w:rPr/>
          <w:t xml:space="preserve">6189-S2</w:t>
        </w:r>
      </w:r>
      <w:r>
        <w:rPr>
          <w:b/>
        </w:rPr>
        <w:t xml:space="preserve"> </w:t>
        <w:t xml:space="preserve">AMS</w:t>
      </w:r>
      <w:r>
        <w:rPr>
          <w:b/>
        </w:rPr>
        <w:t xml:space="preserve"> </w:t>
        <w:r>
          <w:rPr/>
          <w:t xml:space="preserve">TAKK</w:t>
        </w:r>
      </w:r>
      <w:r>
        <w:rPr>
          <w:b/>
        </w:rPr>
        <w:t xml:space="preserve"> </w:t>
        <w:r>
          <w:rPr/>
          <w:t xml:space="preserve">S5868.1</w:t>
        </w:r>
      </w:r>
      <w:r>
        <w:rPr>
          <w:b/>
        </w:rPr>
        <w:t xml:space="preserve"> - NOT FOR FLOOR USE</w:t>
      </w:r>
    </w:p>
    <w:p>
      <w:pPr>
        <w:ind w:left="0" w:right="0" w:firstLine="576"/>
      </w:pPr>
    </w:p>
    <w:p>
      <w:pPr>
        <w:spacing w:before="480" w:after="0" w:line="408" w:lineRule="exact"/>
      </w:pPr>
      <w:r>
        <w:rPr>
          <w:b/>
          <w:u w:val="single"/>
        </w:rPr>
        <w:t xml:space="preserve">2SSB 6189</w:t>
      </w:r>
      <w:r>
        <w:t xml:space="preserve"> -</w:t>
      </w:r>
      <w:r>
        <w:t xml:space="preserve"> </w:t>
        <w:t xml:space="preserve">S AMD</w:t>
      </w:r>
      <w:r>
        <w:t xml:space="preserve"> </w:t>
      </w:r>
      <w:r>
        <w:rPr>
          <w:b/>
        </w:rPr>
        <w:t xml:space="preserve">843</w:t>
      </w:r>
    </w:p>
    <w:p>
      <w:pPr>
        <w:spacing w:before="0" w:after="0" w:line="408" w:lineRule="exact"/>
        <w:ind w:left="0" w:right="0" w:firstLine="576"/>
        <w:jc w:val="left"/>
      </w:pPr>
      <w:r>
        <w:rPr/>
        <w:t xml:space="preserve">By Senator Takko</w:t>
      </w:r>
    </w:p>
    <w:p>
      <w:pPr>
        <w:jc w:val="right"/>
      </w:pPr>
      <w:r>
        <w:rPr>
          <w:b/>
        </w:rPr>
        <w:t xml:space="preserve">PULLED 03/03/2018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the person has</w:t>
      </w:r>
      <w:r>
        <w:rPr>
          <w:u w:val="single"/>
        </w:rPr>
        <w:t xml:space="preserve"> 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w:t>
      </w:r>
      <w:r>
        <w:t>((</w:t>
      </w:r>
      <w:r>
        <w:rPr>
          <w:strike/>
        </w:rPr>
        <w:t xml:space="preserve">as provided</w:t>
      </w:r>
      <w:r>
        <w:t>))</w:t>
      </w:r>
      <w:r>
        <w:rPr/>
        <w:t xml:space="preserve"> </w:t>
      </w:r>
      <w:r>
        <w:rPr>
          <w:u w:val="single"/>
        </w:rPr>
        <w:t xml:space="preserve">and has met any other necessary conditions listed</w:t>
      </w:r>
      <w:r>
        <w:rPr/>
        <w:t xml:space="preserve"> in RCW 46.20.289</w:t>
      </w:r>
      <w:r>
        <w:rPr>
          <w:u w:val="single"/>
        </w:rPr>
        <w:t xml:space="preserve">(1)</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or citation, as provided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u w:val="single"/>
        </w:rPr>
        <w:t xml:space="preserve">(d) If a person cited under (c)(iv) of this subsection appears in person before the court or a violations bureau and provides written evidence that, after the time the person was cited, he or she has paid the underlying citation(s) that suspended his or her license or entered into a payment plan with the respective court or collection agency for the underlying citation(s). In lieu of personal appearance, a person cited under (c)(iv) of this subsection may, before the date scheduled for the person's appearance before the court or violations bureau, submit by mail to the court or violations bureau written evidence that, after the time the person was cited, he or she has paid the underlying citation(s) that suspended his or her license or entered into a payment plan with the respective court or collection agency for the underlying citation(s), in which case the citation shall be dismissed without cost, except that the court or violations bureau may assess court administrative costs of forty-three dollars at the time of dismissal.</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convene a work group to provide input and feedback on the development of a plan and program for the efficient statewide handling of the driver's license suspension or revocation of persons whose licenses are suspended solely as a result of a failure to respond to a notice of a traffic infraction for a moving violation, a failure to appear at a requested hearing for a moving violation, or a violation of a written promise to appear in court for a notice of infraction for a moving violation. The membership of the work group must include at a minimum, a representative from the administrative office of the courts, a representative from the Washington association of prosecuting attorneys, a representative of the courts of limited jurisdiction, a representative of a statewide association of collection professionals, and any other representative of a relevant stakeholder group the department deems appropriate to the work of the group. The work group must report back to the legislature by December 1, 2018, with any recommended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2SSB 6189</w:t>
      </w:r>
      <w:r>
        <w:t xml:space="preserve"> -</w:t>
      </w:r>
      <w:r>
        <w:t xml:space="preserve"> </w:t>
        <w:t xml:space="preserve">S AMD</w:t>
      </w:r>
      <w:r>
        <w:t xml:space="preserve"> </w:t>
      </w:r>
      <w:r>
        <w:rPr>
          <w:b/>
        </w:rPr>
        <w:t xml:space="preserve">843</w:t>
      </w:r>
    </w:p>
    <w:p>
      <w:pPr>
        <w:spacing w:before="0" w:after="0" w:line="408" w:lineRule="exact"/>
        <w:ind w:left="0" w:right="0" w:firstLine="576"/>
        <w:jc w:val="left"/>
      </w:pPr>
      <w:r>
        <w:rPr/>
        <w:t xml:space="preserve">By Senator Takko</w:t>
      </w:r>
    </w:p>
    <w:p>
      <w:pPr>
        <w:jc w:val="right"/>
      </w:pPr>
      <w:r>
        <w:rPr>
          <w:b/>
        </w:rPr>
        <w:t xml:space="preserve">PULLED 03/03/2018</w:t>
      </w:r>
    </w:p>
    <w:p>
      <w:pPr>
        <w:spacing w:before="0" w:after="0" w:line="408" w:lineRule="exact"/>
        <w:ind w:left="0" w:right="0" w:firstLine="576"/>
        <w:jc w:val="left"/>
      </w:pPr>
      <w:r>
        <w:rPr/>
        <w:t xml:space="preserve">On page 1, line 2 of the title, after "license;" strike the remainder of the title and insert "amending RCW 46.20.289, 46.20.291, 46.20.342, and 46.63.110; creating a new section;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31ccd8ca24049" /></Relationships>
</file>