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40c7412fd4e3f"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S5031.1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472</w:t>
      </w:r>
    </w:p>
    <w:p>
      <w:pPr>
        <w:spacing w:before="0" w:after="0" w:line="408" w:lineRule="exact"/>
        <w:ind w:left="0" w:right="0" w:firstLine="576"/>
        <w:jc w:val="left"/>
      </w:pPr>
      <w:r>
        <w:rPr/>
        <w:t xml:space="preserve">By Senator Baumgartner</w:t>
      </w:r>
    </w:p>
    <w:p>
      <w:pPr>
        <w:jc w:val="right"/>
      </w:pPr>
      <w:r>
        <w:rPr>
          <w:b/>
        </w:rPr>
        <w:t xml:space="preserve">WITHDRAWN 02/07/2018</w:t>
      </w:r>
    </w:p>
    <w:p>
      <w:pPr>
        <w:spacing w:before="0" w:after="0" w:line="408" w:lineRule="exact"/>
        <w:ind w:left="0" w:right="0" w:firstLine="576"/>
        <w:jc w:val="left"/>
      </w:pPr>
      <w:r>
        <w:rPr/>
        <w:t xml:space="preserve">On page 49,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21066a14d4650" /></Relationships>
</file>