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d8adf32794b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S5068.1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02/08/2018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line 24,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(b)(i) An exclusive bargaining representative who receives dues subject to subsection (1) of this section may not charge dues or fees in excess of one and one-half percent of the employee's base rate of pay.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If the department of social and health services contracts with a consumer-directed employer to be the legal employer of an individual provider pursuant to section 3 of this act, no exclusive bargaining representative that bargains with the consumer-directed employer may charge dues or fees in excess of one and one-half percent of the employee's base rate of pay.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exclusive bargaining representatives from charging union dues or fees to employees in excess of one and one-half percent of the employee's base rate of pay.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bc04f63a34515" /></Relationships>
</file>