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98395b1b748d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6241-S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HOBB</w:t>
        </w:r>
      </w:r>
      <w:r>
        <w:rPr>
          <w:b/>
        </w:rPr>
        <w:t xml:space="preserve"> </w:t>
        <w:r>
          <w:rPr/>
          <w:t xml:space="preserve">S5285.1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6241</w:t>
      </w:r>
      <w:r>
        <w:t xml:space="preserve"> -</w:t>
      </w:r>
      <w:r>
        <w:t xml:space="preserve"> </w:t>
        <w:t xml:space="preserve">S AMD TO S AMD (S-5123.1/18)</w:t>
      </w:r>
      <w:r>
        <w:t xml:space="preserve"> </w:t>
      </w:r>
      <w:r>
        <w:rPr>
          <w:b/>
        </w:rPr>
        <w:t xml:space="preserve">624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Hobbs</w:t>
      </w:r>
    </w:p>
    <w:p>
      <w:pPr>
        <w:jc w:val="right"/>
      </w:pPr>
      <w:r>
        <w:rPr>
          <w:b/>
        </w:rPr>
        <w:t xml:space="preserve">ADOPTED 02/14/2018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46, beginning on line 23 of the amendment, after "is" strike "established in the state treasury" and insert "((</w:t>
      </w:r>
      <w:r>
        <w:rPr>
          <w:strike/>
        </w:rPr>
        <w:t xml:space="preserve">established in the state treasury</w:t>
      </w:r>
      <w:r>
        <w:rPr/>
        <w:t xml:space="preserve">)) </w:t>
      </w:r>
      <w:r>
        <w:rPr>
          <w:u w:val="single"/>
        </w:rPr>
        <w:t xml:space="preserve">created in the custody of the state treasurer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47, line 36 of the amendment, after "</w:t>
      </w:r>
      <w:r>
        <w:rPr>
          <w:u w:val="single"/>
        </w:rPr>
        <w:t xml:space="preserve">is</w:t>
      </w:r>
      <w:r>
        <w:rPr/>
        <w:t xml:space="preserve">" strike "</w:t>
      </w:r>
      <w:r>
        <w:rPr>
          <w:u w:val="single"/>
        </w:rPr>
        <w:t xml:space="preserve">established in the state treasury</w:t>
      </w:r>
      <w:r>
        <w:rPr/>
        <w:t xml:space="preserve">" and insert "</w:t>
      </w:r>
      <w:r>
        <w:rPr>
          <w:u w:val="single"/>
        </w:rPr>
        <w:t xml:space="preserve">created in the custody of the state treasurer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Establishes the salary reduction accounts in the custody of the state treasurer rather than in the state treasury since these are nonappropriated accounts.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d279e103f49f0" /></Relationships>
</file>