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17a3c211a44c5"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S4945.1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389</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0" w:after="0" w:line="408" w:lineRule="exact"/>
        <w:ind w:left="0" w:right="0" w:firstLine="576"/>
        <w:jc w:val="left"/>
      </w:pPr>
      <w:r>
        <w:rPr>
          <w:u w:val="single"/>
        </w:rPr>
        <w:t xml:space="preserve">(5)(a)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(4)(a) No due or fee received by an exclusive bargaining representative pursuant to this section may be used to fund any political committee or candidate, or to influence any ballot proposition, as defined under RCW 42.17A.005.</w:t>
      </w:r>
    </w:p>
    <w:p>
      <w:pPr>
        <w:spacing w:before="0" w:after="0" w:line="408" w:lineRule="exact"/>
        <w:ind w:left="0" w:right="0" w:firstLine="576"/>
        <w:jc w:val="left"/>
      </w:pPr>
      <w:r>
        <w:rPr>
          <w:u w:val="single"/>
        </w:rPr>
        <w:t xml:space="preserve">(b) Any employee whose dues or fees paid to an exclusive bargaining representative are used in a way that violates (a) of this subsection may file a cause of action in superior court. The superior court may award the employee damages up to triple the amount of the dues or fees paid by the employee to the exclusive bargaining representative and reasonable attorneys' fees and costs.</w:t>
      </w:r>
      <w:r>
        <w:rPr/>
        <w:t xml:space="preserve">"</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389</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Prohibits the use of any due or fee received by an exclusive bargaining representative from being used to fund any political committee, candidate, or to influence any ballot proposition. Creates a cause of action for treble damages and attorneys' fees for employees whose dues or fees are used to fund a political committee, candidate, or to influence a ballot proposition.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e0f3882a147bb" /></Relationships>
</file>