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df6413110c4e30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6620-S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WAGO</w:t>
        </w:r>
      </w:r>
      <w:r>
        <w:rPr>
          <w:b/>
        </w:rPr>
        <w:t xml:space="preserve"> </w:t>
        <w:r>
          <w:rPr/>
          <w:t xml:space="preserve">S6066.2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6620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904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Wagoner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19, beginning on line 17, strike all material through line 18 and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"(7) This section does not apply to ((</w:t>
      </w:r>
      <w:r>
        <w:rPr>
          <w:strike/>
        </w:rPr>
        <w:t xml:space="preserve">sales</w:t>
      </w:r>
      <w:r>
        <w:rPr/>
        <w:t xml:space="preserve">))</w:t>
      </w:r>
      <w:r>
        <w:rPr>
          <w:u w:val="single"/>
        </w:rPr>
        <w:t xml:space="preserve">: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(a) The sale of pistols or semiautomatic rifles</w:t>
      </w:r>
      <w:r>
        <w:rPr/>
        <w:t xml:space="preserve"> to licensed dealers for resale or to the sale of antique firearms</w:t>
      </w:r>
      <w:r>
        <w:rPr>
          <w:u w:val="single"/>
        </w:rPr>
        <w:t xml:space="preserve">; or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(b) The sale of semiautomatic rifles to a person who is an active duty member of the armed forces of the United States, a member of the national guard or the reserves of the armed forces of the United States, or an honorably discharged veteran</w:t>
      </w:r>
      <w:r>
        <w:rPr/>
        <w:t xml:space="preserve">."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25, line 25, after "</w:t>
      </w:r>
      <w:r>
        <w:rPr>
          <w:u w:val="single"/>
        </w:rPr>
        <w:t xml:space="preserve">age</w:t>
      </w:r>
      <w:r>
        <w:rPr/>
        <w:t xml:space="preserve">" insert "</w:t>
      </w:r>
      <w:r>
        <w:rPr>
          <w:u w:val="single"/>
        </w:rPr>
        <w:t xml:space="preserve">unless the purchaser or transferee is an active duty member of the armed forces of the United States, a member of the national guard or the reserves of the armed forces of the United States, or an honorably discharged veteran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Exempts military members or veterans from the requirement to obtain a state background check in order to purchase a semiautomatic rifle and the prohibition against purchase for persons under age twenty-one.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458cbfc7ec41f2" /></Relationships>
</file>