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b8b2a9db84fdd" /></Relationships>
</file>

<file path=word/document.xml><?xml version="1.0" encoding="utf-8"?>
<w:document xmlns:w="http://schemas.openxmlformats.org/wordprocessingml/2006/main">
  <w:body>
    <w:p>
      <w:r>
        <w:t>H-0143.1</w:t>
      </w:r>
    </w:p>
    <w:p>
      <w:pPr>
        <w:jc w:val="center"/>
      </w:pPr>
      <w:r>
        <w:t>_______________________________________________</w:t>
      </w:r>
    </w:p>
    <w:p/>
    <w:p>
      <w:pPr>
        <w:jc w:val="center"/>
      </w:pPr>
      <w:r>
        <w:rPr>
          <w:b/>
        </w:rPr>
        <w:t>HOUSE BILL 1024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Muri, and Haler</w:t>
      </w:r>
    </w:p>
    <w:p/>
    <w:p>
      <w:r>
        <w:rPr>
          <w:t xml:space="preserve">Prefiled 12/05/16.</w:t>
        </w:rPr>
      </w:r>
      <w:r>
        <w:rPr>
          <w:t xml:space="preserve">Read first time 01/09/17.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facilitate the maintenance and repair of private roadways impacting the public interest;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jurisdiction" means any city, town, or county.</w:t>
      </w:r>
    </w:p>
    <w:p>
      <w:pPr>
        <w:spacing w:before="0" w:after="0" w:line="408" w:lineRule="exact"/>
        <w:ind w:left="0" w:right="0" w:firstLine="576"/>
        <w:jc w:val="left"/>
      </w:pPr>
      <w:r>
        <w:rPr/>
        <w:t xml:space="preserve">(2) "Private roadway" means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(3)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jurisdiction may not authorize the financing for the construction, reconstruction, or repair of a private roadway under this chapter unless the jurisdiction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provide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county must determine whether the petition is sufficient. If the county finds the petition to be sufficient, the county may adopt a resolution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local jurisdiction is authorized to construct, reconstruct, and repair private roadways where the local jurisdiction receives a petition under section 2 of this act and adopts a resolution required under section 4 of this act. The local jurisdiction may pay the entire costs of the construction, reconstruction, or repair from any available funds or contribute a portion of the funds to pay the costs of the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jurisdiction may not undertake the construction, reconstruction, or repair of a private roadway under this chapter except pursuant to a resolution of the legislative body of the local jurisdiction. The resolution must state whether all or a specified portion of the cost of the improvements will be borne by the abutting property owners at their own cost and expense as provided in the petition under section 2 of this act. The amount of cost and expense borne by the abutting property owners, as provided in the resolution, may not exceed the amount specified in the petition under section 2 of this act. If the abutting owners are required to pay for all or a portion of the costs of the improvements and fail to pay for the costs, the local jurisdiction may perform and complete the improvements and assess the cost against the abutting owners for the portion of costs attributable to the property owners in the manner provided in the petition, but adjusted for any modifications authorized under this subsection. The local jurisdiction may not increase the total amount of funds that will be contributed by the abutting property owners in excess of the amount specified in the petition submitted under section 2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The resolution must include a declaration of public use that specifically identifies the significant public uses necessitating the constructing, reconstructing, or repairing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local jurisdiction must provide a public hearing on the resolution prior to its adoption. Notice of the public hearing on the resolution must be published for two consecutive weeks before the time of hearing in the official newspaper or regularly published official publication of the city or town. The local jurisdiction must provide notice of the date of the hearing to each owner or reputed owner of the abutting property by mailing to the owner or reputed owner of the property as shown on the tax rolls of the county treasurer, at the address shown thereon a notice of the date of hearing, the mailing to be at least ten days before the date fixed for the hearing. If the publication and mailing is made as required in this section, proof thereof by affidavit must be filed with the local jurisdiction before the hearing. The hearing may be postponed from time to time to a definite date until the hearing is held. At the time of hearing, the legislative body of the local jurisdiction must hear persons who appear for or against the improvement, and determine whether it will or will not proceed with the improvement and whether it will make any changes in the original plan, and what the changes will be. This action may be taken by motion adopted in the usual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local jurisdiction may create a "private roadway construction fund No. ...." to be numbered differently for each improvement; and with warrants drawn on this fund the cost of the respective improvements may be paid. The local jurisdiction may advance as a loan to the private roadway construction fund from any available funds the amounts necessary to pay any costs of the improvement. When any assessments are made for the improvement, payments therefor must be paid into the particular private roadway improvement fund; and whenever any funds are available over the amounts necessary to pay outstanding warrants any advances or loans made to the fund must be repaid. Whenever warrants are drawn on any such fund which are not paid for want of sufficient funds, they must be so stamped and must bear interest until called and paid at a rate established by the local jurisdiction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all or any portion of the costs are to be assessed against the abutting property by the local jurisdiction, an assessment roll must be prepared by the proper official of the local jurisdiction and must conform with the allocation of costs specified in the petition under section 2 of this act, but adjusted for any modifications authorized under subsection (1) of this section. The assessment roll must describe the property assessed, the name of the owner, if known, otherwise stating that the owner is unknown and fixing the amount of the assessment. The assessment roll must be filed with the appropriate official of the local jurisdiction, and when so filed, the local jurisdiction by resolution must fix a date for hearing the proposed assessment roll and direct the clerk of the local jurisdiction to give notice of the hearing and the time and place thereof. The notice of hearing must be mailed to the person whose name appears on the county treasurer's tax roll as the owner or reputed owner of the property, at the address shown thereon,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local jurisdiction before the date fixed for the hearing. Following the hearing the local jurisdiction must by resolution affirm, modify, or reject or order recasting of the assessment roll. An appeal may be taken to the superior court from the ordinance confirming the assessment roll in the same manner as is provided for appeals from the assessment roll by chapters 35.43 through 35.54 RCW, inclusive, as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jurisdiction must by resolution provide whether the full amount of the assessment must be paid in one payment or whether it may be paid in installments and must prescribe the time and amount of such payments; and if more than one payment is provided for, the local jurisdiction may by resolution provide for interest on unpaid installments and fix the rate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local jurisdiction must be filed with the treasurer of the local jurisdiction for collection, and the amount thereof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is provided by chapters 35.43 through 35.54 RCW, inclusive, as now or hereafter amended.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supplemental and additional to any and all other laws relating to construction, reconstruction, and repair of private roadways in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bd8c30ac2dc54c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e4aa962cf4f2f" /><Relationship Type="http://schemas.openxmlformats.org/officeDocument/2006/relationships/footer" Target="/word/footer.xml" Id="Rbd8c30ac2dc54c67" /></Relationships>
</file>