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e1abc3aea4eed" /></Relationships>
</file>

<file path=word/document.xml><?xml version="1.0" encoding="utf-8"?>
<w:document xmlns:w="http://schemas.openxmlformats.org/wordprocessingml/2006/main">
  <w:body>
    <w:p>
      <w:r>
        <w:t>H-1796.3</w:t>
      </w:r>
    </w:p>
    <w:p>
      <w:pPr>
        <w:jc w:val="center"/>
      </w:pPr>
      <w:r>
        <w:t>_______________________________________________</w:t>
      </w:r>
    </w:p>
    <w:p/>
    <w:p>
      <w:pPr>
        <w:jc w:val="center"/>
      </w:pPr>
      <w:r>
        <w:rPr>
          <w:b/>
        </w:rPr>
        <w:t>SUBSTITUTE HOUSE BILL 1047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Peterson, Appleton, Stanford, Robinson, Lytton, Ormsby, Senn, Jinkins, Bergquist, Frame, Gregerson, Doglio, Fey, Tharinger, Ryu, Kilduff, Macri, Hudgins, Farrell, Sawyer,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public's health by creating a system for safe and secure collection and disposal of unwanted medications; amending RCW 69.41.030; reenacting and amending RCW 42.56.270; adding a new section to chapter 69.50 RCW; adding a new section to chapter 70.95 RCW; adding a new chapter to Title 69 RCW; creating a new section; providing an expiration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w:t>
      </w:r>
      <w:r>
        <w:rPr/>
        <w:t xml:space="preserve">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safe and secure method for collection and disposal of medicines through a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(2)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(3)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and drugs in medical devices and combination products, including prefilled injector products with a retractable or otherwise securely covered needle. </w:t>
      </w:r>
    </w:p>
    <w:p>
      <w:pPr>
        <w:spacing w:before="0" w:after="0" w:line="408" w:lineRule="exact"/>
        <w:ind w:left="0" w:right="0" w:firstLine="576"/>
        <w:jc w:val="left"/>
      </w:pPr>
      <w:r>
        <w:rPr/>
        <w:t xml:space="preserve">(4)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(5) "Covered manufacturer" means a person, corporation, or other entity engaged in the manufacture of drugs sold in or into Washington state. "Covered manufacturer" does not include a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(7)(a)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(a)(i), (ii), or (iii) of this subsection.</w:t>
      </w:r>
    </w:p>
    <w:p>
      <w:pPr>
        <w:spacing w:before="0" w:after="0" w:line="408" w:lineRule="exact"/>
        <w:ind w:left="0" w:right="0" w:firstLine="576"/>
        <w:jc w:val="left"/>
      </w:pPr>
      <w:r>
        <w:rPr/>
        <w:t xml:space="preserve">(b) "Drug" does not include:</w:t>
      </w:r>
    </w:p>
    <w:p>
      <w:pPr>
        <w:spacing w:before="0" w:after="0" w:line="408" w:lineRule="exact"/>
        <w:ind w:left="0" w:right="0" w:firstLine="576"/>
        <w:jc w:val="left"/>
      </w:pPr>
      <w:r>
        <w:rPr/>
        <w:t xml:space="preserve">(i) Vitamins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Drugs that are biological products, as defined in RCW 69.41.110, if the producer provides a separate drug take-back program; </w:t>
      </w:r>
    </w:p>
    <w:p>
      <w:pPr>
        <w:spacing w:before="0" w:after="0" w:line="408" w:lineRule="exact"/>
        <w:ind w:left="0" w:right="0" w:firstLine="576"/>
        <w:jc w:val="left"/>
      </w:pPr>
      <w:r>
        <w:rPr/>
        <w:t xml:space="preserve">(vii) Drugs that are used solely in a clinical setting; or</w:t>
      </w:r>
    </w:p>
    <w:p>
      <w:pPr>
        <w:spacing w:before="0" w:after="0" w:line="408" w:lineRule="exact"/>
        <w:ind w:left="0" w:right="0" w:firstLine="576"/>
        <w:jc w:val="left"/>
      </w:pPr>
      <w:r>
        <w:rPr/>
        <w:t xml:space="preserve">(viii) Pet pesticide products contained in pet collars, powders, shampoos, topical applications, or other forms.</w:t>
      </w:r>
    </w:p>
    <w:p>
      <w:pPr>
        <w:spacing w:before="0" w:after="0" w:line="408" w:lineRule="exact"/>
        <w:ind w:left="0" w:right="0" w:firstLine="576"/>
        <w:jc w:val="left"/>
      </w:pPr>
      <w:r>
        <w:rPr/>
        <w:t xml:space="preserve">(8)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(9)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(10) "Drug wholesaler" means an entity licensed as a wholesaler under chapter 18.64 RCW.</w:t>
      </w:r>
    </w:p>
    <w:p>
      <w:pPr>
        <w:spacing w:before="0" w:after="0" w:line="408" w:lineRule="exact"/>
        <w:ind w:left="0" w:right="0" w:firstLine="576"/>
        <w:jc w:val="left"/>
      </w:pPr>
      <w:r>
        <w:rPr/>
        <w:t xml:space="preserve">(11)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(12)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(13) "Mail-back program" means a method of collecting covered drugs from covered entities by using prepaid, preaddressed mailing envelopes.</w:t>
      </w:r>
    </w:p>
    <w:p>
      <w:pPr>
        <w:spacing w:before="0" w:after="0" w:line="408" w:lineRule="exact"/>
        <w:ind w:left="0" w:right="0" w:firstLine="576"/>
        <w:jc w:val="left"/>
      </w:pPr>
      <w:r>
        <w:rPr/>
        <w:t xml:space="preserve">(14) "Manufacture" has the same meaning as in RCW 18.64.011.</w:t>
      </w:r>
    </w:p>
    <w:p>
      <w:pPr>
        <w:spacing w:before="0" w:after="0" w:line="408" w:lineRule="exact"/>
        <w:ind w:left="0" w:right="0" w:firstLine="576"/>
        <w:jc w:val="left"/>
      </w:pPr>
      <w:r>
        <w:rPr/>
        <w:t xml:space="preserve">(15) "Nonlegend drug" means a drug that may be lawfully sold without a prescription.</w:t>
      </w:r>
    </w:p>
    <w:p>
      <w:pPr>
        <w:spacing w:before="0" w:after="0" w:line="408" w:lineRule="exact"/>
        <w:ind w:left="0" w:right="0" w:firstLine="576"/>
        <w:jc w:val="left"/>
      </w:pPr>
      <w:r>
        <w:rPr/>
        <w:t xml:space="preserve">(16) "Pharmacy" means a place licensed as a pharmacy under chapter 18.64 RCW.</w:t>
      </w:r>
    </w:p>
    <w:p>
      <w:pPr>
        <w:spacing w:before="0" w:after="0" w:line="408" w:lineRule="exact"/>
        <w:ind w:left="0" w:right="0" w:firstLine="576"/>
        <w:jc w:val="left"/>
      </w:pPr>
      <w:r>
        <w:rPr/>
        <w:t xml:space="preserve">(17)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(18) "Retail pharmacy" means a place licensed as a pharmacy under chapter 18.64 RCW for the retail sale and dispensing of drugs.</w:t>
      </w:r>
    </w:p>
    <w:p>
      <w:pPr>
        <w:spacing w:before="0" w:after="0" w:line="408" w:lineRule="exact"/>
        <w:ind w:left="0" w:right="0" w:firstLine="576"/>
        <w:jc w:val="left"/>
      </w:pPr>
      <w:r>
        <w:rPr/>
        <w:t xml:space="preserve">(19)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must provide written notification to the department identifying the drug manufacturer from which the retail pharmacy obtains a drug that the retail pharmacy sells under its store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October 1, 2018,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and evaluate the effectiveness of promotion, outreach, and public education activities,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 according to sales revenues in Washington state;</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sixty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ninety days after approval of the proposal by the department.</w:t>
      </w:r>
    </w:p>
    <w:p>
      <w:pPr>
        <w:spacing w:before="0" w:after="0" w:line="408" w:lineRule="exact"/>
        <w:ind w:left="0" w:right="0" w:firstLine="576"/>
        <w:jc w:val="left"/>
      </w:pPr>
      <w:r>
        <w:rPr/>
        <w:t xml:space="preserve">(5)(a) Proposed changes to an approved drug take-back program that substantively alter program operations must have prior written approval of the department. A program operator must submit to the department such a proposed change in writing at least thirty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substantively alter program operations, a program operator must notify the department at least fifteen days before implementing the change. Changes that do not substantively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thirty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twenty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frequency and location of these collections events, to be held at least twice a year, unless otherwise determined through consultation with the local community. The program must arrange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w:t>
      </w:r>
    </w:p>
    <w:p>
      <w:pPr>
        <w:spacing w:before="0" w:after="0" w:line="408" w:lineRule="exact"/>
        <w:ind w:left="0" w:right="0" w:firstLine="576"/>
        <w:jc w:val="left"/>
      </w:pPr>
      <w:r>
        <w:rPr/>
        <w:t xml:space="preserve">(h)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Draft survey questions must be submitted to the department for review and comment no later than thirty days prior to initiation of a survey. The drug take-back program must report all data and the results of the surveys to the department and make the results available on the program's web site no later than ninety days after the end of the survey period; and</w:t>
      </w:r>
    </w:p>
    <w:p>
      <w:pPr>
        <w:spacing w:before="0" w:after="0" w:line="408" w:lineRule="exact"/>
        <w:ind w:left="0" w:right="0" w:firstLine="576"/>
        <w:jc w:val="left"/>
      </w:pPr>
      <w:r>
        <w:rPr/>
        <w:t xml:space="preserve">(i) Annually evaluate the effectiveness of its promotion, outreach, and public education, and include this evaluation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April 30th after the first full year of implementation, and each April 30th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The results of the program's surveys of covered entities and pharmacists, health care providers, and veterinarians;</w:t>
      </w:r>
    </w:p>
    <w:p>
      <w:pPr>
        <w:spacing w:before="0" w:after="0" w:line="408" w:lineRule="exact"/>
        <w:ind w:left="0" w:right="0" w:firstLine="576"/>
        <w:jc w:val="left"/>
      </w:pPr>
      <w:r>
        <w:rPr/>
        <w:t xml:space="preserve">(g) A description of how collected packaging was recycled to the extent feasible;</w:t>
      </w:r>
    </w:p>
    <w:p>
      <w:pPr>
        <w:spacing w:before="0" w:after="0" w:line="408" w:lineRule="exact"/>
        <w:ind w:left="0" w:right="0" w:firstLine="576"/>
        <w:jc w:val="left"/>
      </w:pPr>
      <w:r>
        <w:rPr/>
        <w:t xml:space="preserve">(h)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(i) The program's annual expenditures, itemized by program category.</w:t>
      </w:r>
    </w:p>
    <w:p>
      <w:pPr>
        <w:spacing w:before="0" w:after="0" w:line="408" w:lineRule="exact"/>
        <w:ind w:left="0" w:right="0" w:firstLine="576"/>
        <w:jc w:val="left"/>
      </w:pPr>
      <w:r>
        <w:rPr/>
        <w:t xml:space="preserve">(2)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2018,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collect fees from each program operator by October 1, 2018,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eighteen months after a drug take-back program approved under section 5 of this act begins operating, a county may enforce a grandfathered ordinance. During that eighteen-month period,</w:t>
      </w:r>
      <w:r>
        <w:rPr/>
        <w:t xml:space="preserve">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eighteen-month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may rely on available data sources, including the prescription drug monitoring program and public health surveys such as the Washington state healthy youth survey. The department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052690d8198e44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491a84afc4eb2" /><Relationship Type="http://schemas.openxmlformats.org/officeDocument/2006/relationships/footer" Target="/word/footer.xml" Id="R052690d8198e4417" /></Relationships>
</file>