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a4db3671e4d14" /></Relationships>
</file>

<file path=word/document.xml><?xml version="1.0" encoding="utf-8"?>
<w:document xmlns:w="http://schemas.openxmlformats.org/wordprocessingml/2006/main">
  <w:body>
    <w:p>
      <w:r>
        <w:t>H-0130.1</w:t>
      </w:r>
    </w:p>
    <w:p>
      <w:pPr>
        <w:jc w:val="center"/>
      </w:pPr>
      <w:r>
        <w:t>_______________________________________________</w:t>
      </w:r>
    </w:p>
    <w:p/>
    <w:p>
      <w:pPr>
        <w:jc w:val="center"/>
      </w:pPr>
      <w:r>
        <w:rPr>
          <w:b/>
        </w:rPr>
        <w:t>HOUSE BILL 1135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Dye, Blake, Manweller, McBride, Schmick, Shea, Jenkin, Fey, McCaslin, Short, Haler, Nealey, Farrell, Muri, Ormsby, Tarleton, Young, and Buys</w:t>
      </w:r>
    </w:p>
    <w:p/>
    <w:p>
      <w:r>
        <w:rPr>
          <w:t xml:space="preserve">Read first time 01/12/17.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oil spill contingency planning requirements to those railroads that haul oils used as fuel; amending RCW 90.56.210; and reenacting and amending RCW 90.56.010.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(29) "Food grade vegetable oil" means a nonpetroleum oil of fat or vegetable origin that is intended for human or animal consumption as food. Food grade vegetable oil includes but is not limited to oils and fats derived from plant seeds, nuts, fruits, and kernels. Food grade vegetable oil does not include biodiesel, biodiesel blends, or similar plant-based oils that have undergone processing for use as a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w:t>
      </w:r>
      <w:r>
        <w:rPr>
          <w:u w:val="single"/>
        </w:rPr>
        <w:t xml:space="preserve">A contingency plan under this subsection is not required for railroad transport of food grade vegetable oil.</w:t>
      </w:r>
      <w:r>
        <w:rPr/>
        <w:t xml:space="preserve">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3ecbe71daf904f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ed084bdf84c73" /><Relationship Type="http://schemas.openxmlformats.org/officeDocument/2006/relationships/footer" Target="/word/footer.xml" Id="R3ecbe71daf904fde" /></Relationships>
</file>