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6d1bdd77654921" /></Relationships>
</file>

<file path=word/document.xml><?xml version="1.0" encoding="utf-8"?>
<w:document xmlns:w="http://schemas.openxmlformats.org/wordprocessingml/2006/main">
  <w:body>
    <w:p>
      <w:r>
        <w:t>H-0649.1</w:t>
      </w:r>
    </w:p>
    <w:p>
      <w:pPr>
        <w:jc w:val="center"/>
      </w:pPr>
      <w:r>
        <w:t>_______________________________________________</w:t>
      </w:r>
    </w:p>
    <w:p/>
    <w:p>
      <w:pPr>
        <w:jc w:val="center"/>
      </w:pPr>
      <w:r>
        <w:rPr>
          <w:b/>
        </w:rPr>
        <w:t>HOUSE BILL 1225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Pike, Fitzgibbon, Manweller, Blake, Wylie, Peterson, and McDonald</w:t>
      </w:r>
    </w:p>
    <w:p/>
    <w:p>
      <w:r>
        <w:rPr>
          <w:t xml:space="preserve">Read first time 01/13/17.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for the availability of mineral resources for future generations under the growth management act; and amending RCW 36.70A.020, 36.70A.060, and 36.70A.131.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w:t>
      </w:r>
      <w:r>
        <w:t>((</w:t>
      </w:r>
      <w:r>
        <w:rPr>
          <w:strike/>
        </w:rPr>
        <w:t xml:space="preserve">and</w:t>
      </w:r>
      <w:r>
        <w:t>))</w:t>
      </w:r>
      <w:r>
        <w:rPr/>
        <w:t xml:space="preserve"> fisheries</w:t>
      </w:r>
      <w:r>
        <w:rPr>
          <w:u w:val="single"/>
        </w:rPr>
        <w:t xml:space="preserve">, and mineral resource</w:t>
      </w:r>
      <w:r>
        <w:rPr/>
        <w:t xml:space="preserve"> industries. Encourage the conservation of productive forestlands </w:t>
      </w:r>
      <w:r>
        <w:t>((</w:t>
      </w:r>
      <w:r>
        <w:rPr>
          <w:strike/>
        </w:rPr>
        <w:t xml:space="preserve">and productive</w:t>
      </w:r>
      <w:r>
        <w:t>))</w:t>
      </w:r>
      <w:r>
        <w:rPr>
          <w:u w:val="single"/>
        </w:rPr>
        <w:t xml:space="preserve">,</w:t>
      </w:r>
      <w:r>
        <w:rPr/>
        <w:t xml:space="preserve"> agricultural lands, </w:t>
      </w:r>
      <w:r>
        <w:rPr>
          <w:u w:val="single"/>
        </w:rPr>
        <w:t xml:space="preserve">and mineral resource lands,</w:t>
      </w:r>
      <w:r>
        <w:rPr/>
        <w:t xml:space="preserve">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forestlands, or mineral resource lands, contain a notice that the subject property is within or near designated agricultural lands, forestlands, or mineral resource lands on which a variety of commercial activities may occur that are not compatible with residential development for certain periods of limited duration. The notice for mineral resource lands shall also inform that an application might be made for </w:t>
      </w:r>
      <w:r>
        <w:t>((</w:t>
      </w:r>
      <w:r>
        <w:rPr>
          <w:strike/>
        </w:rPr>
        <w:t xml:space="preserve">mining-related activities, including mining, extraction, washing, crushing, stockpiling,</w:t>
      </w:r>
      <w:r>
        <w:t>))</w:t>
      </w:r>
      <w:r>
        <w:rPr/>
        <w:t xml:space="preserve"> blasting</w:t>
      </w:r>
      <w:r>
        <w:t>((</w:t>
      </w:r>
      <w:r>
        <w:rPr>
          <w:strike/>
        </w:rPr>
        <w:t xml:space="preserve">, transporting, and recycling</w:t>
      </w:r>
      <w:r>
        <w:t>))</w:t>
      </w:r>
      <w:r>
        <w:rPr/>
        <w:t xml:space="preserve">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t xml:space="preserve"> </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Forestland and agricultural land located within urban growth areas shall not be designated by a county or city as forestland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131</w:t>
      </w:r>
      <w:r>
        <w:rPr/>
        <w:t xml:space="preserve"> and 1998 c 286 s 7 are each amended to read as follows:</w:t>
      </w:r>
    </w:p>
    <w:p>
      <w:pPr>
        <w:spacing w:before="0" w:after="0" w:line="408" w:lineRule="exact"/>
        <w:ind w:left="0" w:right="0" w:firstLine="576"/>
        <w:jc w:val="left"/>
      </w:pPr>
      <w:r>
        <w:rPr>
          <w:u w:val="single"/>
        </w:rPr>
        <w:t xml:space="preserve">(1)</w:t>
      </w:r>
      <w:r>
        <w:rPr/>
        <w:t xml:space="preserve"> As part of the review required by RCW 36.70A.130(1), a county or city shall review its mineral resource lands designations adopted pursuant to RCW 36.70A.170 and mineral resource lands development regulations adopted pursuant to RCW 36.70A.040 and 36.70A.060. In its review, the county or city shall take into consideration: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New information made available since the adoption or last review of its designations or development regulations, including data available from the department of natural resources relating to mineral resource deposits;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New or modified model development regulations for mineral resource lands prepared by the department of natural resources, the department of </w:t>
      </w:r>
      <w:r>
        <w:t>((</w:t>
      </w:r>
      <w:r>
        <w:rPr>
          <w:strike/>
        </w:rPr>
        <w:t xml:space="preserve">community, trade, and economic development</w:t>
      </w:r>
      <w:r>
        <w:t>))</w:t>
      </w:r>
      <w:r>
        <w:rPr/>
        <w:t xml:space="preserve"> </w:t>
      </w:r>
      <w:r>
        <w:rPr>
          <w:u w:val="single"/>
        </w:rPr>
        <w:t xml:space="preserve">commerce</w:t>
      </w:r>
      <w:r>
        <w:rPr/>
        <w:t xml:space="preserve">, or the Washington state association of counties.</w:t>
      </w:r>
    </w:p>
    <w:p>
      <w:pPr>
        <w:spacing w:before="0" w:after="0" w:line="408" w:lineRule="exact"/>
        <w:ind w:left="0" w:right="0" w:firstLine="576"/>
        <w:jc w:val="left"/>
      </w:pPr>
      <w:r>
        <w:rPr>
          <w:u w:val="single"/>
        </w:rPr>
        <w:t xml:space="preserve">(2) Whether shown by new information as described in subsection (1)(a) and (b) of this section, or shown by prior information submitted to the county or city, a county or city shall designate as mineral resource lands all property that has long-term significance for the extraction of minerals. This requirement to designate mineral resource lands of long-term significance cannot be restricted or deferred by pace of growth, market analysis such as a twenty-year threshold of supply, or any other mechanism. Any lands that have long-term significance for the extraction of minerals must be provided the protection of a mineral resource lands designation. The requirement to designate all such property as mineral resource lands is to ensure that lands are designated and afforded protection from incompatible uses so as to maintain viability for future extraction. Designation of mineral resource lands under this chapter is separate from site-specific permitting. A designation of mineral resource lands does not preclude the county and city from requiring owners of property to obtain site-specific permits prior to development and mining mineral resource lands.</w:t>
      </w:r>
    </w:p>
    <w:p/>
    <w:p>
      <w:pPr>
        <w:jc w:val="center"/>
      </w:pPr>
      <w:r>
        <w:rPr>
          <w:b/>
        </w:rPr>
        <w:t>--- END ---</w:t>
      </w:r>
    </w:p>
    <w:sectPr>
      <w:pgNumType w:start="1"/>
      <w:footerReference xmlns:r="http://schemas.openxmlformats.org/officeDocument/2006/relationships" r:id="R77c3747479cd43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a3c3ab13fa4c2d" /><Relationship Type="http://schemas.openxmlformats.org/officeDocument/2006/relationships/footer" Target="/word/footer.xml" Id="R77c3747479cd4380" /></Relationships>
</file>