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48a626c32d4f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McCaslin, Bergquist, Holy, Ryu, Stokesbary, Orwall, Volz, Haler, Stambaugh, Griffey, Chandler, Blake, Dent, McDonald, Dolan, Shea, Koster, Short, Pettigrew, Fey, Santos, Smith, Hargrove, Sells, Pollet, Muri, and Young)</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evaluations for certain educators;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w:t>
      </w:r>
      <w:r>
        <w:t>((</w:t>
      </w:r>
      <w:r>
        <w:rPr>
          <w:strike/>
        </w:rPr>
        <w:t xml:space="preserve">thereof</w:t>
      </w:r>
      <w:r>
        <w:t>))</w:t>
      </w:r>
      <w:r>
        <w:rPr/>
        <w:t xml:space="preserve">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2013-14 through 2015-16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 The committee shall cease to function July 1, 2022.</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who holds a valid Washington professional teaching certificate or a valid certification from the national board for professional teaching standards and a principal who holds a valid Washington professional administrator certificate, and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5f058266d41e41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ff08236fb4702" /><Relationship Type="http://schemas.openxmlformats.org/officeDocument/2006/relationships/footer" Target="/word/footer.xml" Id="R5f058266d41e4152" /></Relationships>
</file>