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8b6126b767409c" /></Relationships>
</file>

<file path=word/document.xml><?xml version="1.0" encoding="utf-8"?>
<w:document xmlns:w="http://schemas.openxmlformats.org/wordprocessingml/2006/main">
  <w:body>
    <w:p>
      <w:r>
        <w:t>H-1740.1</w:t>
      </w:r>
    </w:p>
    <w:p>
      <w:pPr>
        <w:jc w:val="center"/>
      </w:pPr>
      <w:r>
        <w:t>_______________________________________________</w:t>
      </w:r>
    </w:p>
    <w:p/>
    <w:p>
      <w:pPr>
        <w:jc w:val="center"/>
      </w:pPr>
      <w:r>
        <w:rPr>
          <w:b/>
        </w:rPr>
        <w:t>SUBSTITUTE HOUSE BILL 1319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McCaslin, Bergquist, Holy, Ryu, Stokesbary, Orwall, Volz, Haler, Stambaugh, Griffey, Chandler, Blake, Dent, McDonald, Dolan, Shea, Koster, Short, Pettigrew, Fey, Santos, Smith, Hargrove, Sells, Pollet, Muri, and Young)</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frequency of evaluations for certain educators;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district-based, and state-based tools. Student growth data elements may include the teacher's performance as a member of a grade</w:t>
      </w:r>
      <w:r>
        <w:rPr/>
        <w:noBreakHyphen/>
      </w:r>
      <w:r>
        <w:rPr/>
        <w:t xml:space="preserve">level, subject matter, or other instructional team within a school when the use of this data is relevant and appropriate.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district-based, and state-based tools.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2017.</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r>
        <w:t>((</w:t>
      </w:r>
      <w:r>
        <w:rPr>
          <w:strike/>
        </w:rPr>
        <w:t xml:space="preserve">:</w:t>
      </w:r>
      <w:r>
        <w:t>))</w:t>
      </w:r>
      <w:r>
        <w:rPr/>
        <w:t xml:space="preserve"> </w:t>
      </w:r>
      <w:r>
        <w:rPr>
          <w:u w:val="single"/>
        </w:rPr>
        <w:t xml:space="preserve">(12).</w:t>
      </w:r>
    </w:p>
    <w:p>
      <w:pPr>
        <w:spacing w:before="0" w:after="0" w:line="408" w:lineRule="exact"/>
        <w:ind w:left="0" w:right="0" w:firstLine="576"/>
        <w:jc w:val="left"/>
      </w:pPr>
      <w:r>
        <w:rPr/>
        <w:t xml:space="preserve">(a) </w:t>
      </w:r>
      <w:r>
        <w:t>((</w:t>
      </w:r>
      <w:r>
        <w:rPr>
          <w:strike/>
        </w:rPr>
        <w:t xml:space="preserve">All classroom teachers and principals shall receive a comprehensive summative evaluation at least once every four years.</w:t>
      </w:r>
      <w:r>
        <w:t>))</w:t>
      </w:r>
      <w:r>
        <w:rPr/>
        <w:t xml:space="preserve"> A comprehensive summative evaluation assesses all eight evaluation criteria and all criteria contribute to the comprehensive summative evaluation performance rating. </w:t>
      </w:r>
      <w:r>
        <w:rPr>
          <w:u w:val="single"/>
        </w:rPr>
        <w:t xml:space="preserve">Classroom teachers and principals must receive a comprehensive summative evaluation according to the schedule specified in (b) of this subsection.</w:t>
      </w:r>
    </w:p>
    <w:p>
      <w:pPr>
        <w:spacing w:before="0" w:after="0" w:line="408" w:lineRule="exact"/>
        <w:ind w:left="0" w:right="0" w:firstLine="576"/>
        <w:jc w:val="left"/>
      </w:pPr>
      <w:r>
        <w:rPr/>
        <w:t xml:space="preserve">(b)</w:t>
      </w:r>
      <w:r>
        <w:rPr>
          <w:u w:val="single"/>
        </w:rPr>
        <w:t xml:space="preserve">(i) Except as otherwise provided in this subsection (12)(b), classroom teachers and principals must receive a comprehensive summative evaluation at least once every four years.</w:t>
      </w:r>
    </w:p>
    <w:p>
      <w:pPr>
        <w:spacing w:before="0" w:after="0" w:line="408" w:lineRule="exact"/>
        <w:ind w:left="0" w:right="0" w:firstLine="576"/>
        <w:jc w:val="left"/>
      </w:pPr>
      <w:r>
        <w:rPr>
          <w:u w:val="single"/>
        </w:rPr>
        <w:t xml:space="preserve">(ii)</w:t>
      </w:r>
      <w:r>
        <w:rPr/>
        <w:t xml:space="preserve"> The following </w:t>
      </w:r>
      <w:r>
        <w:t>((</w:t>
      </w:r>
      <w:r>
        <w:rPr>
          <w:strike/>
        </w:rPr>
        <w:t xml:space="preserve">categories</w:t>
      </w:r>
      <w:r>
        <w:t>))</w:t>
      </w:r>
      <w:r>
        <w:rPr/>
        <w:t xml:space="preserve"> </w:t>
      </w:r>
      <w:r>
        <w:rPr>
          <w:u w:val="single"/>
        </w:rPr>
        <w:t xml:space="preserve">types</w:t>
      </w:r>
      <w:r>
        <w:rPr/>
        <w:t xml:space="preserve"> of classroom teachers and principals </w:t>
      </w:r>
      <w:r>
        <w:t>((</w:t>
      </w:r>
      <w:r>
        <w:rPr>
          <w:strike/>
        </w:rPr>
        <w:t xml:space="preserve">shall</w:t>
      </w:r>
      <w:r>
        <w:t>))</w:t>
      </w:r>
      <w:r>
        <w:rPr/>
        <w:t xml:space="preserve"> </w:t>
      </w:r>
      <w:r>
        <w:rPr>
          <w:u w:val="single"/>
        </w:rPr>
        <w:t xml:space="preserve">must</w:t>
      </w:r>
      <w:r>
        <w:rPr/>
        <w:t xml:space="preserve"> receive an annual comprehensive summative evaluation:</w:t>
      </w:r>
    </w:p>
    <w:p>
      <w:pPr>
        <w:spacing w:before="0" w:after="0" w:line="408" w:lineRule="exact"/>
        <w:ind w:left="0" w:right="0" w:firstLine="576"/>
        <w:jc w:val="left"/>
      </w:pPr>
      <w:r>
        <w:t>((</w:t>
      </w:r>
      <w:r>
        <w:rPr>
          <w:strike/>
        </w:rPr>
        <w:t xml:space="preserve">(i)</w:t>
      </w:r>
      <w:r>
        <w:t>))</w:t>
      </w:r>
      <w:r>
        <w:rPr/>
        <w:t xml:space="preserve"> </w:t>
      </w:r>
      <w:r>
        <w:rPr>
          <w:u w:val="single"/>
        </w:rPr>
        <w:t xml:space="preserve">(A) A c</w:t>
      </w:r>
      <w:r>
        <w:rPr/>
        <w:t xml:space="preserve">lassroom teacher</w:t>
      </w:r>
      <w:r>
        <w:t>((</w:t>
      </w:r>
      <w:r>
        <w:rPr>
          <w:strike/>
        </w:rPr>
        <w:t xml:space="preserve">s</w:t>
      </w:r>
      <w:r>
        <w:t>))</w:t>
      </w:r>
      <w:r>
        <w:rPr/>
        <w:t xml:space="preserve"> who </w:t>
      </w:r>
      <w:r>
        <w:t>((</w:t>
      </w:r>
      <w:r>
        <w:rPr>
          <w:strike/>
        </w:rPr>
        <w:t xml:space="preserve">are</w:t>
      </w:r>
      <w:r>
        <w:t>))</w:t>
      </w:r>
      <w:r>
        <w:rPr/>
        <w:t xml:space="preserve"> </w:t>
      </w:r>
      <w:r>
        <w:rPr>
          <w:u w:val="single"/>
        </w:rPr>
        <w:t xml:space="preserve">is a</w:t>
      </w:r>
      <w:r>
        <w:rPr/>
        <w:t xml:space="preserve"> provisional employee</w:t>
      </w:r>
      <w:r>
        <w:t>((</w:t>
      </w:r>
      <w:r>
        <w:rPr>
          <w:strike/>
        </w:rPr>
        <w:t xml:space="preserve">s</w:t>
      </w:r>
      <w:r>
        <w:t>))</w:t>
      </w:r>
      <w:r>
        <w:rPr/>
        <w:t xml:space="preserve"> under RCW 28A.405.220;</w:t>
      </w:r>
    </w:p>
    <w:p>
      <w:pPr>
        <w:spacing w:before="0" w:after="0" w:line="408" w:lineRule="exact"/>
        <w:ind w:left="0" w:right="0" w:firstLine="576"/>
        <w:jc w:val="left"/>
      </w:pPr>
      <w:r>
        <w:t>((</w:t>
      </w:r>
      <w:r>
        <w:rPr>
          <w:strike/>
        </w:rPr>
        <w:t xml:space="preserve">(ii)</w:t>
      </w:r>
      <w:r>
        <w:t>))</w:t>
      </w:r>
      <w:r>
        <w:rPr/>
        <w:t xml:space="preserve"> </w:t>
      </w:r>
      <w:r>
        <w:rPr>
          <w:u w:val="single"/>
        </w:rPr>
        <w:t xml:space="preserve">(B) A p</w:t>
      </w:r>
      <w:r>
        <w:rPr/>
        <w:t xml:space="preserve">rincipal</w:t>
      </w:r>
      <w:r>
        <w:t>((</w:t>
      </w:r>
      <w:r>
        <w:rPr>
          <w:strike/>
        </w:rPr>
        <w:t xml:space="preserve">s</w:t>
      </w:r>
      <w:r>
        <w:t>))</w:t>
      </w:r>
      <w:r>
        <w:rPr/>
        <w:t xml:space="preserve"> in the first three consecutive school years of employment as a principal;</w:t>
      </w:r>
    </w:p>
    <w:p>
      <w:pPr>
        <w:spacing w:before="0" w:after="0" w:line="408" w:lineRule="exact"/>
        <w:ind w:left="0" w:right="0" w:firstLine="576"/>
        <w:jc w:val="left"/>
      </w:pPr>
      <w:r>
        <w:t>((</w:t>
      </w:r>
      <w:r>
        <w:rPr>
          <w:strike/>
        </w:rPr>
        <w:t xml:space="preserve">(iii)</w:t>
      </w:r>
      <w:r>
        <w:t>))</w:t>
      </w:r>
      <w:r>
        <w:rPr/>
        <w:t xml:space="preserve"> </w:t>
      </w:r>
      <w:r>
        <w:rPr>
          <w:u w:val="single"/>
        </w:rPr>
        <w:t xml:space="preserve">(C) A p</w:t>
      </w:r>
      <w:r>
        <w:rPr/>
        <w:t xml:space="preserve">rincipal</w:t>
      </w:r>
      <w:r>
        <w:t>((</w:t>
      </w:r>
      <w:r>
        <w:rPr>
          <w:strike/>
        </w:rPr>
        <w:t xml:space="preserve">s</w:t>
      </w:r>
      <w:r>
        <w:t>))</w:t>
      </w:r>
      <w:r>
        <w:rPr/>
        <w:t xml:space="preserve">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t>((</w:t>
      </w:r>
      <w:r>
        <w:rPr>
          <w:strike/>
        </w:rPr>
        <w:t xml:space="preserve">(iv) Any</w:t>
      </w:r>
      <w:r>
        <w:t>))</w:t>
      </w:r>
      <w:r>
        <w:rPr/>
        <w:t xml:space="preserve"> </w:t>
      </w:r>
      <w:r>
        <w:rPr>
          <w:u w:val="single"/>
        </w:rPr>
        <w:t xml:space="preserve">(D) A</w:t>
      </w:r>
      <w:r>
        <w:rPr/>
        <w:t xml:space="preserve"> classroom teacher or principal who received a comprehensive summative evaluation performance rating of level 1 or level 2 in the previous school year.</w:t>
      </w:r>
    </w:p>
    <w:p>
      <w:pPr>
        <w:spacing w:before="0" w:after="0" w:line="408" w:lineRule="exact"/>
        <w:ind w:left="0" w:right="0" w:firstLine="576"/>
        <w:jc w:val="left"/>
      </w:pPr>
      <w:r>
        <w:rPr>
          <w:u w:val="single"/>
        </w:rPr>
        <w:t xml:space="preserve">(iii) A classroom teacher who holds a valid Washington professional teaching certificate or a valid certification from the national board for professional teaching standards and a principal who holds a valid Washington professional administrator certificate, and who received a comprehensive summative evaluation performance rating of level 3 or above in his or her previous comprehensive summative evaluation must receive a comprehensive summative evaluation at least every six years.</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w:t>
      </w:r>
      <w:r>
        <w:t>((</w:t>
      </w:r>
      <w:r>
        <w:rPr>
          <w:strike/>
        </w:rPr>
        <w:t xml:space="preserve">the previous school year</w:t>
      </w:r>
      <w:r>
        <w:t>))</w:t>
      </w:r>
      <w:r>
        <w:rPr/>
        <w:t xml:space="preserve"> </w:t>
      </w:r>
      <w:r>
        <w:rPr>
          <w:u w:val="single"/>
        </w:rPr>
        <w:t xml:space="preserve">their previous comprehensive summative evaluation</w:t>
      </w:r>
      <w:r>
        <w:rPr/>
        <w:t xml:space="preserve">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3994c4bcdd594f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9e42d404643cd" /><Relationship Type="http://schemas.openxmlformats.org/officeDocument/2006/relationships/footer" Target="/word/footer.xml" Id="R3994c4bcdd594ff0" /></Relationships>
</file>