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b238a85d64f96" /></Relationships>
</file>

<file path=word/document.xml><?xml version="1.0" encoding="utf-8"?>
<w:document xmlns:w="http://schemas.openxmlformats.org/wordprocessingml/2006/main">
  <w:body>
    <w:p>
      <w:r>
        <w:t>H-0436.1</w:t>
      </w:r>
    </w:p>
    <w:p>
      <w:pPr>
        <w:jc w:val="center"/>
      </w:pPr>
      <w:r>
        <w:t>_______________________________________________</w:t>
      </w:r>
    </w:p>
    <w:p/>
    <w:p>
      <w:pPr>
        <w:jc w:val="center"/>
      </w:pPr>
      <w:r>
        <w:rPr>
          <w:b/>
        </w:rPr>
        <w:t>HOUSE BILL 1328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Holy, Short, Pike, Hargrove, and Koster</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consider alternatives to rule making; and reenacting and amending RCW 34.05.328.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r>
        <w:rPr>
          <w:u w:val="single"/>
        </w:rPr>
        <w:t xml:space="preserve">.</w:t>
      </w:r>
    </w:p>
    <w:p>
      <w:pPr>
        <w:spacing w:before="0" w:after="0" w:line="408" w:lineRule="exact"/>
        <w:ind w:left="0" w:right="0" w:firstLine="576"/>
        <w:jc w:val="left"/>
      </w:pPr>
      <w:r>
        <w:rPr>
          <w:u w:val="single"/>
        </w:rPr>
        <w:t xml:space="preserve">(i) For rules adopted by the department of ecology, the determination of rule necessity under (b) of this subsection must be accompanied by an analysis of whether the general goals and specific objectives of the rule making could be accomplished with comparable efficacy and at lower administrative cost through any combination of the following alternative strategies to rule making: (A) Increasing or targeting enforcement that relies on existing authority; (B) providing additional technical assistance to regulated persons; or (C) the establishment of regulatory or financial incentives to encourage compliance by regulated persons;</w:t>
      </w:r>
    </w:p>
    <w:p>
      <w:pPr>
        <w:spacing w:before="0" w:after="0" w:line="408" w:lineRule="exact"/>
        <w:ind w:left="0" w:right="0" w:firstLine="576"/>
        <w:jc w:val="left"/>
      </w:pPr>
      <w:r>
        <w:rPr>
          <w:u w:val="single"/>
        </w:rPr>
        <w:t xml:space="preserve">(ii) The analysis required in (b)(i) of this subsection must include specific administrative cost estimates of each alternative strategy</w:t>
      </w:r>
      <w:r>
        <w:rPr/>
        <w:t xml:space="preserv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ec997afefe0240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aabc37d444ae4" /><Relationship Type="http://schemas.openxmlformats.org/officeDocument/2006/relationships/footer" Target="/word/footer.xml" Id="Rec997afefe0240b2" /></Relationships>
</file>