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78e7e014cd41b8" /></Relationships>
</file>

<file path=word/document.xml><?xml version="1.0" encoding="utf-8"?>
<w:document xmlns:w="http://schemas.openxmlformats.org/wordprocessingml/2006/main">
  <w:body>
    <w:p>
      <w:r>
        <w:t>H-0975.1</w:t>
      </w:r>
    </w:p>
    <w:p>
      <w:pPr>
        <w:jc w:val="center"/>
      </w:pPr>
      <w:r>
        <w:t>_______________________________________________</w:t>
      </w:r>
    </w:p>
    <w:p/>
    <w:p>
      <w:pPr>
        <w:jc w:val="center"/>
      </w:pPr>
      <w:r>
        <w:rPr>
          <w:b/>
        </w:rPr>
        <w:t>HOUSE BILL 1379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Stambaugh, Blake, Holy, Pollet, Tarleton, Haler, Sells, Goodman, Lovick, Frame, Kilduff, Doglio, and Stanford</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adding new sections to chapter 43.70 RCW; adding new sections to chapter 28B.77 RCW; creating a new section; repealing 2015 c 67 s 3 (uncodified);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department shall work with the mental health and suicide prevention in higher education task force, created by chapter 67, Laws of 2015, and other entities or persons that the department and the task force deem appropriate. At a minimum, the additional entities or persons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 and</w:t>
      </w:r>
    </w:p>
    <w:p>
      <w:pPr>
        <w:spacing w:before="0" w:after="0" w:line="408" w:lineRule="exact"/>
        <w:ind w:left="0" w:right="0" w:firstLine="576"/>
        <w:jc w:val="left"/>
      </w:pPr>
      <w:r>
        <w:rPr/>
        <w:t xml:space="preserve">(g)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To develop the statewide resource, the department shall contract with an entity that has suicide prevention expertise. The department must consider recommendations made by the task force regarding choice of the contracting entity. The contracting entity must be responsible for constructing and hosting the statewide resource and linking the resource to the student achievement council's and the department's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w:t>
      </w:r>
    </w:p>
    <w:p>
      <w:pPr>
        <w:spacing w:before="0" w:after="0" w:line="408" w:lineRule="exact"/>
        <w:ind w:left="0" w:right="0" w:firstLine="576"/>
        <w:jc w:val="left"/>
      </w:pPr>
      <w:r>
        <w:rPr/>
        <w:t xml:space="preserve">(c) Provide a free curriculum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contracting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2019.</w:t>
      </w:r>
    </w:p>
    <w:p>
      <w:pPr>
        <w:spacing w:before="0" w:after="0" w:line="408" w:lineRule="exact"/>
        <w:ind w:left="0" w:right="0" w:firstLine="576"/>
        <w:jc w:val="left"/>
      </w:pPr>
      <w:r>
        <w:rPr/>
        <w:t xml:space="preserve">(6) For the purposes of this section, the task force will expire on July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for postsecondary institutions to develop basic infrastructure and strategic plans to support behavioral health promotion and suicide prevention, including the development of innovative partnerships with state agencies, postsecondary institutions, and community organizations such as community crisis clinics.</w:t>
      </w:r>
    </w:p>
    <w:p>
      <w:pPr>
        <w:spacing w:before="0" w:after="0" w:line="408" w:lineRule="exact"/>
        <w:ind w:left="0" w:right="0" w:firstLine="576"/>
        <w:jc w:val="left"/>
      </w:pPr>
      <w:r>
        <w:rPr/>
        <w:t xml:space="preserve">(2) The council shall administer the grant program in collaboration with the mental health and suicide prevention in higher education task force. The grant program must be implemented by August 1, 2018.</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Beginning June 1, 2018, and every June 1st thereafter until 2021, postsecondary institutions shall submit a report to the state department of health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department of health's established data collection requirements.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 and</w:t>
      </w:r>
    </w:p>
    <w:p>
      <w:pPr>
        <w:spacing w:before="0" w:after="0" w:line="408" w:lineRule="exact"/>
        <w:ind w:left="0" w:right="0" w:firstLine="576"/>
        <w:jc w:val="left"/>
      </w:pPr>
      <w:r>
        <w:rPr/>
        <w:t xml:space="preserve">(j) The campus point person or persons responsible for the crisis plan.</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December 31, 2017, for the purposes of collecting data on suicide prevention and behavioral health in higher education, the department shall identify data, methods for data collection, and data definitions to be used by postsecondary institutions required to submit annual reports under section 4 of this act. The department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department shall aggregate the information it receives by sector. The department shall serve as the depository for annual reports submitted by institutions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67 s 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bd06b8d50847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784722ee94f2b" /><Relationship Type="http://schemas.openxmlformats.org/officeDocument/2006/relationships/footer" Target="/word/footer.xml" Id="R1bbd06b8d50847da" /></Relationships>
</file>