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bc0b0801a64cf3" /></Relationships>
</file>

<file path=word/document.xml><?xml version="1.0" encoding="utf-8"?>
<w:document xmlns:w="http://schemas.openxmlformats.org/wordprocessingml/2006/main">
  <w:body>
    <w:p>
      <w:r>
        <w:t>H-2051.1</w:t>
      </w:r>
    </w:p>
    <w:p>
      <w:pPr>
        <w:jc w:val="center"/>
      </w:pPr>
      <w:r>
        <w:t>_______________________________________________</w:t>
      </w:r>
    </w:p>
    <w:p/>
    <w:p>
      <w:pPr>
        <w:jc w:val="center"/>
      </w:pPr>
      <w:r>
        <w:rPr>
          <w:b/>
        </w:rPr>
        <w:t>SUBSTITUTE HOUSE BILL 1391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DeBolt and Orcutt)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tax exemption for land owned by a nonprofit organization and designated as a master planned location for major industrial activity; amending RCW 84.36.805;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four thousand four hundred acre industrial site in Lewis county was formerly a surface coal mining operation. The legislature further finds that coal removal operations ended in 2006. The legislature further finds that it designated areas of this reclaimed mine site as a new industrial park in state law (RCW 36.70A.368). The legislature further finds that this site has good access to both air and water ports as well as major north-south and east-west truck and rail corridors. The legislature further finds that this site is an ideal location for major industrial investment while also located in an area which enjoys open space, with wild and scenic beauty. The legislature further finds that the industrial park at Transalta (IPAT), a 501(c)(3) nonprofit organization, currently owns one thousand of the four thousand four hundred acre industrial site and works with the state department of commerce to market and develop the entire four thousand four hundred acre site for industrial activity. The legislature further finds that IPAT, unlike many nonprofits, is paying property taxes on the property that it is seeking to sell to third parties for industrial development pursuant to its nonprofit mission. The legislature further finds that these property taxes amount to approximately eight percent of operating expenses.</w:t>
      </w:r>
    </w:p>
    <w:p>
      <w:pPr>
        <w:spacing w:before="0" w:after="0" w:line="408" w:lineRule="exact"/>
        <w:ind w:left="0" w:right="0" w:firstLine="576"/>
        <w:jc w:val="left"/>
      </w:pPr>
      <w:r>
        <w:rPr/>
        <w:t xml:space="preserve">(2)(a) This section is the tax preference performance statement for the property tax exemption contained in section 2, chapter . . ., Laws of 2017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(c) It is the legislature's specific public policy objective to provide a property tax exemption for land owned by a nonprofit organization that seeks to market and sell its land holdings for industrial development to fulfill a mission recognized in state law to redevelop land formerly used for coal mining activity.</w:t>
      </w:r>
    </w:p>
    <w:p>
      <w:pPr>
        <w:spacing w:before="0" w:after="0" w:line="408" w:lineRule="exact"/>
        <w:ind w:left="0" w:right="0" w:firstLine="576"/>
        <w:jc w:val="left"/>
      </w:pPr>
      <w:r>
        <w:rPr/>
        <w:t xml:space="preserve">(d) The joint legislative audit and review committee will review the number of parcels that received the tax preferences provided in this act that have been leased, sold, or gifted within seven years after the enactment of the tax preference. In order to obtain the data necessary to perform the review, the joint legislative audit and review committee may refer to data sources including county assessor property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a nonprofit organization and within an area designated as a master planned location for major industrial activity outside urban growth areas on lands formerly used or designated for surface coal mining and supporting uses, as provided in RCW 36.70A.368, is exempt from property taxation. Property otherwise eligible for an exemption from property taxation under this section ceases to be exempt as of the date that the nonprofit organization leases, gifts, sells, or transfers ownership of the property to any other person.</w:t>
      </w:r>
    </w:p>
    <w:p>
      <w:pPr>
        <w:spacing w:before="0" w:after="0" w:line="408" w:lineRule="exact"/>
        <w:ind w:left="0" w:right="0" w:firstLine="576"/>
        <w:jc w:val="left"/>
      </w:pPr>
      <w:r>
        <w:rPr/>
        <w:t xml:space="preserve">(2) A claim for an exemption under this section must be filed with the county assessor on forms prescribed by the department and furnished by the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w:t>
      </w:r>
      <w:r>
        <w:t>((</w:t>
      </w:r>
      <w:r>
        <w:rPr>
          <w:strike/>
        </w:rPr>
        <w:t xml:space="preserve">and</w:t>
      </w:r>
      <w:r>
        <w:t>))</w:t>
      </w:r>
      <w:r>
        <w:rPr/>
        <w:t xml:space="preserve"> 84.36.480(2)</w:t>
      </w:r>
      <w:r>
        <w:rPr>
          <w:u w:val="single"/>
        </w:rPr>
        <w:t xml:space="preserve">, and section 2 of this act</w:t>
      </w:r>
      <w:r>
        <w:rPr/>
        <w:t xml:space="preserve">.</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6a1ee2a34f3346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5e1492c084976" /><Relationship Type="http://schemas.openxmlformats.org/officeDocument/2006/relationships/footer" Target="/word/footer.xml" Id="R6a1ee2a34f33463e" /></Relationships>
</file>