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d8baa2ee854661" /></Relationships>
</file>

<file path=word/document.xml><?xml version="1.0" encoding="utf-8"?>
<w:document xmlns:w="http://schemas.openxmlformats.org/wordprocessingml/2006/main">
  <w:body>
    <w:p>
      <w:r>
        <w:t>H-1660.1</w:t>
      </w:r>
    </w:p>
    <w:p>
      <w:pPr>
        <w:jc w:val="center"/>
      </w:pPr>
      <w:r>
        <w:t>_______________________________________________</w:t>
      </w:r>
    </w:p>
    <w:p/>
    <w:p>
      <w:pPr>
        <w:jc w:val="center"/>
      </w:pPr>
      <w:r>
        <w:rPr>
          <w:b/>
        </w:rPr>
        <w:t>SUBSTITUTE HOUSE BILL 1482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Sawyer, Kagi, Stambaugh, Caldier, Robinson, Springer, Hargrove, Tarleton, Ormsby, Doglio, and Stanford)</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(3) 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74.08A.260 and sections 4 and 5 of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"Task force" means the legislative-executive WorkFirst poverty reduction oversight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 subsections (2) through (6) of this section are suspended for a recipient who is a parent or other relative personally providing care for one child under the age of two years, or two or more children under the age of six years. This suspension applies to both one and two parent families. However, both parents in a two-parent family cannot use the suspension during the same month. 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 Nothing in this subsection shall prevent a recipient from participating in the WorkFirst program on a voluntary basis. 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p>
    <w:p>
      <w:pPr>
        <w:spacing w:before="0" w:after="0" w:line="408" w:lineRule="exact"/>
        <w:ind w:left="0" w:right="0" w:firstLine="576"/>
        <w:jc w:val="left"/>
      </w:pP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w:t>
      </w:r>
      <w:r>
        <w:t>))</w:t>
      </w:r>
      <w:r>
        <w:rPr/>
        <w:t xml:space="preserve"> </w:t>
      </w:r>
      <w:r>
        <w:rPr>
          <w:u w:val="single"/>
        </w:rPr>
        <w:t xml:space="preserve">A</w:t>
      </w:r>
      <w:r>
        <w:rPr/>
        <w:t xml:space="preserve"> legislative-executive WorkFirst </w:t>
      </w:r>
      <w:r>
        <w:rPr>
          <w:u w:val="single"/>
        </w:rPr>
        <w:t xml:space="preserve">poverty reduction</w:t>
      </w:r>
      <w:r>
        <w:rPr/>
        <w:t xml:space="preserve"> oversight task force is established</w:t>
      </w:r>
      <w:r>
        <w:t>((</w:t>
      </w:r>
      <w:r>
        <w:rPr>
          <w:strike/>
        </w:rPr>
        <w:t xml:space="preserve">, with members as provided in this subsection (8)(b)</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 The primary goals of the task force are to:</w:t>
      </w:r>
    </w:p>
    <w:p>
      <w:pPr>
        <w:spacing w:before="0" w:after="0" w:line="408" w:lineRule="exact"/>
        <w:ind w:left="0" w:right="0" w:firstLine="576"/>
        <w:jc w:val="left"/>
      </w:pPr>
      <w:r>
        <w:rPr>
          <w:u w:val="single"/>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u w:val="single"/>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u w:val="single"/>
        </w:rPr>
        <w:t xml:space="preserve">(c)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u w:val="single"/>
        </w:rPr>
        <w:t xml:space="preserve">(i)</w:t>
      </w:r>
      <w:r>
        <w:rPr/>
        <w:t xml:space="preserve"> The president of the senate shall appoint two members from each of the two largest caucuses of the senate.</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speaker of the house of representatives shall appoint two members from each of the two largest caucuses of the house of representatives.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governor shall appoint </w:t>
      </w:r>
      <w:r>
        <w:t>((</w:t>
      </w:r>
      <w:r>
        <w:rPr>
          <w:strike/>
        </w:rPr>
        <w:t xml:space="preserve">members representing</w:t>
      </w:r>
      <w:r>
        <w:t>))</w:t>
      </w:r>
      <w:r>
        <w:rPr/>
        <w:t xml:space="preserve"> </w:t>
      </w:r>
      <w:r>
        <w:rPr>
          <w:u w:val="single"/>
        </w:rPr>
        <w:t xml:space="preserve">one representative from each of the following agencies: (A) T</w:t>
      </w:r>
      <w:r>
        <w:rPr/>
        <w:t xml:space="preserve">he department of social and health services</w:t>
      </w:r>
      <w:r>
        <w:t>((</w:t>
      </w:r>
      <w:r>
        <w:rPr>
          <w:strike/>
        </w:rPr>
        <w:t xml:space="preserve">,</w:t>
      </w:r>
      <w:r>
        <w:t>))</w:t>
      </w:r>
      <w:r>
        <w:rPr>
          <w:u w:val="single"/>
        </w:rPr>
        <w:t xml:space="preserve">; (B)</w:t>
      </w:r>
      <w:r>
        <w:rPr/>
        <w:t xml:space="preserve"> the department of early learning</w:t>
      </w:r>
      <w:r>
        <w:t>((</w:t>
      </w:r>
      <w:r>
        <w:rPr>
          <w:strike/>
        </w:rPr>
        <w:t xml:space="preserve">,</w:t>
      </w:r>
      <w:r>
        <w:t>))</w:t>
      </w:r>
      <w:r>
        <w:rPr>
          <w:u w:val="single"/>
        </w:rPr>
        <w:t xml:space="preserve">; (C)</w:t>
      </w:r>
      <w:r>
        <w:rPr/>
        <w:t xml:space="preserve"> the department of commerce</w:t>
      </w:r>
      <w:r>
        <w:t>((</w:t>
      </w:r>
      <w:r>
        <w:rPr>
          <w:strike/>
        </w:rPr>
        <w:t xml:space="preserve">,</w:t>
      </w:r>
      <w:r>
        <w:t>))</w:t>
      </w:r>
      <w:r>
        <w:rPr>
          <w:u w:val="single"/>
        </w:rPr>
        <w:t xml:space="preserve">; (D)</w:t>
      </w:r>
      <w:r>
        <w:rPr/>
        <w:t xml:space="preserve"> the employment security department</w:t>
      </w:r>
      <w:r>
        <w:t>((</w:t>
      </w:r>
      <w:r>
        <w:rPr>
          <w:strike/>
        </w:rPr>
        <w:t xml:space="preserve">, the office of financial management,</w:t>
      </w:r>
      <w:r>
        <w:t>))</w:t>
      </w:r>
      <w:r>
        <w:rPr>
          <w:u w:val="single"/>
        </w:rPr>
        <w:t xml:space="preserve">; (E) the office of the superintendent of public instruction; (F) the department of corrections;</w:t>
      </w:r>
      <w:r>
        <w:rPr/>
        <w:t xml:space="preserve"> and </w:t>
      </w:r>
      <w:r>
        <w:rPr>
          <w:u w:val="single"/>
        </w:rPr>
        <w:t xml:space="preserve">(G)</w:t>
      </w:r>
      <w:r>
        <w:rPr/>
        <w:t xml:space="preserve"> the state board for community and technical colleges. </w:t>
      </w:r>
      <w:r>
        <w:rPr>
          <w:u w:val="single"/>
        </w:rPr>
        <w:t xml:space="preserve">The governor shall direct one representative from each of the following agencies to serve in an advisory capacity to the task force: The department of health, the health care authority, and the workforce training and education coordinating board.</w:t>
      </w:r>
    </w:p>
    <w:p>
      <w:pPr>
        <w:spacing w:before="0" w:after="0" w:line="408" w:lineRule="exact"/>
        <w:ind w:left="0" w:right="0" w:firstLine="576"/>
        <w:jc w:val="left"/>
      </w:pPr>
      <w:r>
        <w:rPr>
          <w:u w:val="single"/>
        </w:rPr>
        <w:t xml:space="preserve">(iv) The governor shall request participation by representatives of tribal governments.</w:t>
      </w:r>
    </w:p>
    <w:p>
      <w:pPr>
        <w:spacing w:before="0" w:after="0" w:line="408" w:lineRule="exact"/>
        <w:ind w:left="0" w:right="0" w:firstLine="576"/>
        <w:jc w:val="left"/>
      </w:pPr>
      <w:r>
        <w:rPr>
          <w:u w:val="single"/>
        </w:rPr>
        <w:t xml:space="preserve">(v) The cochairs of the intergenerational poverty advisory committee created in section 4 of this act shall serve as voting members of the task force.</w:t>
      </w:r>
    </w:p>
    <w:p>
      <w:pPr>
        <w:spacing w:before="0" w:after="0" w:line="408" w:lineRule="exact"/>
        <w:ind w:left="0" w:right="0" w:firstLine="576"/>
        <w:jc w:val="left"/>
      </w:pPr>
      <w:r>
        <w:t>((</w:t>
      </w:r>
      <w:r>
        <w:rPr>
          <w:strike/>
        </w:rPr>
        <w:t xml:space="preserve">(v)</w:t>
      </w:r>
      <w:r>
        <w:t>))</w:t>
      </w:r>
      <w:r>
        <w:rPr/>
        <w:t xml:space="preserve"> </w:t>
      </w:r>
      <w:r>
        <w:rPr>
          <w:u w:val="single"/>
        </w:rPr>
        <w:t xml:space="preserve">(d)</w:t>
      </w:r>
      <w:r>
        <w:rPr/>
        <w:t xml:space="preserve">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task force shall:</w:t>
      </w:r>
    </w:p>
    <w:p>
      <w:pPr>
        <w:spacing w:before="0" w:after="0" w:line="408" w:lineRule="exact"/>
        <w:ind w:left="0" w:right="0" w:firstLine="576"/>
        <w:jc w:val="left"/>
      </w:pPr>
      <w:r>
        <w:rPr/>
        <w:t xml:space="preserve">(i) Oversee the partner agencies' </w:t>
      </w:r>
      <w:r>
        <w:t>((</w:t>
      </w:r>
      <w:r>
        <w:rPr>
          <w:strike/>
        </w:rPr>
        <w:t xml:space="preserve">implementation of the redesign</w:t>
      </w:r>
      <w:r>
        <w:t>))</w:t>
      </w:r>
      <w:r>
        <w:rPr/>
        <w:t xml:space="preserve"> </w:t>
      </w:r>
      <w:r>
        <w:rPr>
          <w:u w:val="single"/>
        </w:rPr>
        <w:t xml:space="preserve">operation</w:t>
      </w:r>
      <w:r>
        <w:rPr/>
        <w:t xml:space="preserve">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w:t>
      </w:r>
      <w:r>
        <w:rPr>
          <w:u w:val="single"/>
        </w:rPr>
        <w:t xml:space="preserve">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u w:val="single"/>
        </w:rPr>
        <w:t xml:space="preserve">(v) Collaborate with the advisory committee created in section 4 of this act to develop strategies to reduce poverty and prevent adverse childhood experiences, and monitor the impact of these strategies;</w:t>
      </w:r>
    </w:p>
    <w:p>
      <w:pPr>
        <w:spacing w:before="0" w:after="0" w:line="408" w:lineRule="exact"/>
        <w:ind w:left="0" w:right="0" w:firstLine="576"/>
        <w:jc w:val="left"/>
      </w:pPr>
      <w:r>
        <w:rPr>
          <w:u w:val="single"/>
        </w:rPr>
        <w:t xml:space="preserve">(vi)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u w:val="single"/>
        </w:rPr>
        <w:t xml:space="preserve">(vii) Collaborate with partner agencies and the advisory committee to share and analyze data and information collected under section 5 of this act and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u w:val="single"/>
        </w:rPr>
        <w:t xml:space="preserve">(viii)</w:t>
      </w:r>
      <w:r>
        <w:rPr/>
        <w:t xml:space="preserve">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(ix)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u w:val="single"/>
        </w:rPr>
        <w:t xml:space="preserve">(x) Beginning December 1, 2019, and each December 1st thereafter and in collaboration with the advisory committee, provide an annual report to the governor and the appropriate committees of the legislature on the progress being made towards the goals identified in this section.</w:t>
      </w:r>
    </w:p>
    <w:p>
      <w:pPr>
        <w:spacing w:before="0" w:after="0" w:line="408" w:lineRule="exact"/>
        <w:ind w:left="0" w:right="0" w:firstLine="576"/>
        <w:jc w:val="left"/>
      </w:pPr>
      <w:r>
        <w:rPr>
          <w:u w:val="single"/>
        </w:rPr>
        <w:t xml:space="preserve">(f)</w:t>
      </w:r>
      <w:r>
        <w:rPr/>
        <w:t xml:space="preserve">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w:t>
      </w:r>
      <w:r>
        <w:t>((</w:t>
      </w:r>
      <w:r>
        <w:rPr>
          <w:strike/>
        </w:rPr>
        <w:t xml:space="preserve">(c)</w:t>
      </w:r>
      <w:r>
        <w:t>))</w:t>
      </w:r>
      <w:r>
        <w:rPr/>
        <w:t xml:space="preserve"> </w:t>
      </w:r>
      <w:r>
        <w:rPr>
          <w:u w:val="single"/>
        </w:rPr>
        <w:t xml:space="preserve">(e)</w:t>
      </w:r>
      <w:r>
        <w:rPr/>
        <w:t xml:space="preserve">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task force shall meet on a quarterly basis </w:t>
      </w:r>
      <w:r>
        <w:t>((</w:t>
      </w:r>
      <w:r>
        <w:rPr>
          <w:strike/>
        </w:rPr>
        <w:t xml:space="preserve">beginning September 2011</w:t>
      </w:r>
      <w:r>
        <w:t>))</w:t>
      </w:r>
      <w:r>
        <w:rPr/>
        <w:t xml:space="preserve">, or as determined necessary by the task force cochairs.</w:t>
      </w:r>
    </w:p>
    <w:p>
      <w:pPr>
        <w:spacing w:before="0" w:after="0" w:line="408" w:lineRule="exact"/>
        <w:ind w:left="0" w:right="0" w:firstLine="576"/>
        <w:jc w:val="left"/>
      </w:pPr>
      <w:r>
        <w:t>((</w:t>
      </w:r>
      <w:r>
        <w:rPr>
          <w:strike/>
        </w:rPr>
        <w:t xml:space="preserve">(g)</w:t>
      </w:r>
      <w:r>
        <w:t>))</w:t>
      </w:r>
      <w:r>
        <w:rPr/>
        <w:t xml:space="preserve"> </w:t>
      </w:r>
      <w:r>
        <w:rPr>
          <w:u w:val="single"/>
        </w:rPr>
        <w:t xml:space="preserve">(i)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(j)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(k)</w:t>
      </w:r>
      <w:r>
        <w:rPr/>
        <w:t xml:space="preserve">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RCW 74.08A.260,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 and</w:t>
      </w:r>
    </w:p>
    <w:p>
      <w:pPr>
        <w:spacing w:before="0" w:after="0" w:line="408" w:lineRule="exact"/>
        <w:ind w:left="0" w:right="0" w:firstLine="576"/>
        <w:jc w:val="left"/>
      </w:pPr>
      <w:r>
        <w:rPr/>
        <w:t xml:space="preserve">(i)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is appointed for a four-year term unless a member is appointed to complete an unexpired term.</w:t>
      </w:r>
    </w:p>
    <w:p>
      <w:pPr>
        <w:spacing w:before="0" w:after="0" w:line="408" w:lineRule="exact"/>
        <w:ind w:left="0" w:right="0" w:firstLine="576"/>
        <w:jc w:val="left"/>
      </w:pPr>
      <w:r>
        <w:rPr/>
        <w:t xml:space="preserve">(6)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(7)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74.08A.260;</w:t>
      </w:r>
    </w:p>
    <w:p>
      <w:pPr>
        <w:spacing w:before="0" w:after="0" w:line="408" w:lineRule="exact"/>
        <w:ind w:left="0" w:right="0" w:firstLine="576"/>
        <w:jc w:val="left"/>
      </w:pPr>
      <w:r>
        <w:rPr/>
        <w:t xml:space="preserve">(c) Ensure that the advisory committee's recommendations to the task force are supported by verifiable data, including data gathered under section 5 of this act;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The department may establish and maintain a system to track intergenerational poverty which has the ability to:</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Related poverty information.</w:t>
      </w:r>
    </w:p>
    <w:p>
      <w:pPr>
        <w:spacing w:before="0" w:after="0" w:line="408" w:lineRule="exact"/>
        <w:ind w:left="0" w:right="0" w:firstLine="576"/>
        <w:jc w:val="left"/>
      </w:pPr>
      <w:r>
        <w:rPr/>
        <w:t xml:space="preserve">(2) In implementing the intergenerational poverty tracking system, the department is encouraged to:</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 and</w:t>
      </w:r>
    </w:p>
    <w:p>
      <w:pPr>
        <w:spacing w:before="0" w:after="0" w:line="408" w:lineRule="exact"/>
        <w:ind w:left="0" w:right="0" w:firstLine="576"/>
        <w:jc w:val="left"/>
      </w:pPr>
      <w:r>
        <w:rPr/>
        <w:t xml:space="preserve">(c) Include in the annual written report described in RCW 74.08A.260, a report on the data, findings, and potential uses of the tracking system.</w:t>
      </w:r>
    </w:p>
    <w:p>
      <w:pPr>
        <w:spacing w:before="0" w:after="0" w:line="408" w:lineRule="exact"/>
        <w:ind w:left="0" w:right="0" w:firstLine="576"/>
        <w:jc w:val="left"/>
      </w:pPr>
      <w:r>
        <w:rPr/>
        <w:t xml:space="preserve">(3) The tracking system must protect the privacy of individuals living in poverty by using and distributing data within the tracking system in compliance with RCW 74.04.060, and other applicable state and federal laws.</w:t>
      </w:r>
    </w:p>
    <w:p/>
    <w:p>
      <w:pPr>
        <w:jc w:val="center"/>
      </w:pPr>
      <w:r>
        <w:rPr>
          <w:b/>
        </w:rPr>
        <w:t>--- END ---</w:t>
      </w:r>
    </w:p>
    <w:sectPr>
      <w:pgNumType w:start="1"/>
      <w:footerReference xmlns:r="http://schemas.openxmlformats.org/officeDocument/2006/relationships" r:id="Rb596fbd966f340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b1c4deca6455c" /><Relationship Type="http://schemas.openxmlformats.org/officeDocument/2006/relationships/footer" Target="/word/footer.xml" Id="Rb596fbd966f3407e" /></Relationships>
</file>