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83c476800446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1562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Gregerson, Stonier, Orwall, Senn, Slatter, Peterson, Lovick, Farrell, Santos, Ryu, McBride, Ortiz-Self, Hudgins, Pollet, Riccelli, Macri, Pike, Stanford, Doglio, Fitzgibbon, Bergquist, Tharinger, Sawyer, Ormsby, Dolan, Cody, and Fey)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the work of the Washington food policy forum;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continues to lose farmland every year to nonfarming uses;</w:t>
      </w:r>
    </w:p>
    <w:p>
      <w:pPr>
        <w:spacing w:before="0" w:after="0" w:line="408" w:lineRule="exact"/>
        <w:ind w:left="0" w:right="0" w:firstLine="576"/>
        <w:jc w:val="left"/>
      </w:pPr>
      <w:r>
        <w:rPr/>
        <w:t xml:space="preserve">(e)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(f) Several nongovernmental and charitable organizations are engaged in the distribution of food to food banks and those in need, and there exists an opportunity to build on connections between these organizations and farmers to enhance the delivery of locally produced food to various food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(h) Small acreage farms in Washington provide local food and maintain a vibrant culture of agriculture. Although several programs exist to support small farm operations there are opportunities to evaluate the effectiveness of these programs to reduce duplication of effort and streamline service delivery to the farmers; and</w:t>
      </w:r>
    </w:p>
    <w:p>
      <w:pPr>
        <w:spacing w:before="0" w:after="0" w:line="408" w:lineRule="exact"/>
        <w:ind w:left="0" w:right="0" w:firstLine="576"/>
        <w:jc w:val="left"/>
      </w:pPr>
      <w:r>
        <w:rPr/>
        <w:t xml:space="preserve">(i)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acreage agriculture.</w:t>
      </w:r>
    </w:p>
    <w:p>
      <w:pPr>
        <w:spacing w:before="0" w:after="0" w:line="408" w:lineRule="exact"/>
        <w:ind w:left="0" w:right="0" w:firstLine="576"/>
        <w:jc w:val="left"/>
      </w:pPr>
      <w:r>
        <w:rPr/>
        <w:t xml:space="preserve">(3) The purpose of this act is to provide for the establishment of a forum to: (a) Increase the direct marketing sales of local farm products; (b) reduce food insecurity in Washington; (c) identify opportunities to improve coordination between local food policy councils and state and federal agencies; and (d) identify rules and regulations impeding the viability of small acreage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for small scale farms, meet the educational needs for the next generation of farmers, and provide for the continued economic viability of local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local food policy entities and communication between the local food policy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small acreage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acreage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2018.</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6ff9801e1d848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25068cb8f416b" /><Relationship Type="http://schemas.openxmlformats.org/officeDocument/2006/relationships/footer" Target="/word/footer.xml" Id="R86ff9801e1d84896" /></Relationships>
</file>