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736c6b6f1c477d" /></Relationships>
</file>

<file path=word/document.xml><?xml version="1.0" encoding="utf-8"?>
<w:document xmlns:w="http://schemas.openxmlformats.org/wordprocessingml/2006/main">
  <w:body>
    <w:p>
      <w:r>
        <w:t>H-1684.1</w:t>
      </w:r>
    </w:p>
    <w:p>
      <w:pPr>
        <w:jc w:val="center"/>
      </w:pPr>
      <w:r>
        <w:t>_______________________________________________</w:t>
      </w:r>
    </w:p>
    <w:p/>
    <w:p>
      <w:pPr>
        <w:jc w:val="center"/>
      </w:pPr>
      <w:r>
        <w:rPr>
          <w:b/>
        </w:rPr>
        <w:t>SUBSTITUTE HOUSE BILL 1614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Orwall, Hayes, Pellicciotti, Holy, Griffey, Pettigrew, Muri, and Haler)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46.20.720, 46.61.506, 46.61.517, and 46.64.025; and reenacting and amending RCW 9.96.060, 10.31.100, and 46.61.5055.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w:t>
      </w:r>
      <w:r>
        <w:rPr>
          <w:u w:val="single"/>
        </w:rPr>
        <w:t xml:space="preserve">: (i) H</w:t>
      </w:r>
      <w:r>
        <w:rPr/>
        <w:t xml:space="preserve">as a prior offense as defined in RCW 46.61.5055 within ten years</w:t>
      </w:r>
      <w:r>
        <w:rPr>
          <w:u w:val="single"/>
        </w:rPr>
        <w:t xml:space="preserve">; or (ii)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submits a declaration to the department by a licensed physician, licensed osteopathic physician, licensed physician assistant, licensed osteopathic physician assistant, or licensed advanced registered nurse practitioner indicating that the person is unable to operate an ignition interlock device due to a medical condition</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 four days in jail or, if available in that county or city, a six-month</w:t>
      </w:r>
      <w:r>
        <w:t>))</w:t>
      </w:r>
      <w:r>
        <w:rPr/>
        <w:t xml:space="preserve"> </w:t>
      </w:r>
      <w:r>
        <w:rPr>
          <w:u w:val="single"/>
        </w:rPr>
        <w:t xml:space="preserve">one hundred twenty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 six days in jail or, if available in that county or city,</w:t>
      </w:r>
      <w:r>
        <w:t>))</w:t>
      </w:r>
      <w:r>
        <w:rPr/>
        <w:t xml:space="preserve"> </w:t>
      </w:r>
      <w:r>
        <w:rPr>
          <w:u w:val="single"/>
        </w:rPr>
        <w:t xml:space="preserve">six months of electronic home monitoring or</w:t>
      </w:r>
      <w:r>
        <w:rPr/>
        <w:t xml:space="preserve"> a six-month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w:t>
      </w:r>
      <w:r>
        <w:t>((</w:t>
      </w:r>
      <w:r>
        <w:rPr>
          <w:strike/>
        </w:rPr>
        <w:t xml:space="preserve">an advanced emergency medical technician or paramedic licensed under chapter 18.73 RCW</w:t>
      </w:r>
      <w:r>
        <w:t>))</w:t>
      </w:r>
      <w:r>
        <w:rPr/>
        <w:t xml:space="preserve"> </w:t>
      </w:r>
      <w:r>
        <w:rPr>
          <w:u w:val="single"/>
        </w:rPr>
        <w:t xml:space="preserve">a physician's trained advanced emergency medical technician and paramedic certified under chapter 18.71 RCW</w:t>
      </w:r>
      <w:r>
        <w:rPr/>
        <w:t xml:space="preserve">; until July 1, 2016, a health care assistant certified under chapter 18.135 RCW; or a medical assistant-certified or medical assistant-phlebotomist certified under chapter 18.360 RCW. Proof of qualification to draw blood may be established through the department of health's provider credential search. </w:t>
      </w:r>
      <w:r>
        <w:t>((</w:t>
      </w:r>
      <w:r>
        <w:rPr>
          <w:strike/>
        </w:rPr>
        <w:t xml:space="preserve">This</w:t>
      </w:r>
      <w:r>
        <w:t>))</w:t>
      </w:r>
      <w:r>
        <w:rPr/>
        <w:t xml:space="preserve"> </w:t>
      </w:r>
      <w:r>
        <w:rPr>
          <w:u w:val="single"/>
        </w:rPr>
        <w:t xml:space="preserve">When withdrawal of blood for the purpose of determining its alcoholic or drug content is performed outside Washington state, the withdrawal may be performed by any health care provider lawfully authorized to perform a withdrawal for that purpose in the state in which the withdrawal takes place. These</w:t>
      </w:r>
      <w:r>
        <w:rPr/>
        <w:t xml:space="preserve"> limitation</w:t>
      </w:r>
      <w:r>
        <w:rPr>
          <w:u w:val="single"/>
        </w:rPr>
        <w:t xml:space="preserve">s</w:t>
      </w:r>
      <w:r>
        <w:rPr/>
        <w:t xml:space="preserve">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 a traffic citation or </w:t>
      </w:r>
      <w:r>
        <w:rPr>
          <w:u w:val="single"/>
        </w:rPr>
        <w:t xml:space="preserve">provided notice of</w:t>
      </w:r>
      <w:r>
        <w:rPr/>
        <w:t xml:space="preserve"> a traffic-related criminal complaint willfully fails to appear at a requested hearing for a moving violation or fails to comply with the terms of a notice of traffic citation for a moving violation or a traffic-related criminal complaint,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
      <w:pPr>
        <w:jc w:val="center"/>
      </w:pPr>
      <w:r>
        <w:rPr>
          <w:b/>
        </w:rPr>
        <w:t>--- END ---</w:t>
      </w:r>
    </w:p>
    <w:sectPr>
      <w:pgNumType w:start="1"/>
      <w:footerReference xmlns:r="http://schemas.openxmlformats.org/officeDocument/2006/relationships" r:id="Rbcc0eabbd99443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5e25a5f5a4404" /><Relationship Type="http://schemas.openxmlformats.org/officeDocument/2006/relationships/footer" Target="/word/footer.xml" Id="Rbcc0eabbd9944332" /></Relationships>
</file>