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1908efae274773" /></Relationships>
</file>

<file path=word/document.xml><?xml version="1.0" encoding="utf-8"?>
<w:document xmlns:w="http://schemas.openxmlformats.org/wordprocessingml/2006/main">
  <w:body>
    <w:p>
      <w:r>
        <w:t>H-4638.1</w:t>
      </w:r>
    </w:p>
    <w:p>
      <w:pPr>
        <w:jc w:val="center"/>
      </w:pPr>
      <w:r>
        <w:t>_______________________________________________</w:t>
      </w:r>
    </w:p>
    <w:p/>
    <w:p>
      <w:pPr>
        <w:jc w:val="center"/>
      </w:pPr>
      <w:r>
        <w:rPr>
          <w:b/>
        </w:rPr>
        <w:t>THIRD SUBSTITUTE HOUSE BILL 1679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Goodman, Klippert, Pettigrew, Chapman, Hayes, Muri, Hudgins, and Robinson; by request of Department of Corrections)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two-year identicard for offenders released from prison facilities; amending RCW 46.20.117; adding a new section to chapter 72.09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releasing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Is expected to be released to a location within Washington state, and is not expected to be transported or otherwise detained in a federal correctional or detention facility or a correctional or detention facility in another state; and</w:t>
      </w:r>
    </w:p>
    <w:p>
      <w:pPr>
        <w:spacing w:before="0" w:after="0" w:line="408" w:lineRule="exact"/>
        <w:ind w:left="0" w:right="0" w:firstLine="576"/>
        <w:jc w:val="left"/>
      </w:pPr>
      <w:r>
        <w:rPr/>
        <w:t xml:space="preserve">(d) Does not have a current and valid state-issued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 The department may charge the department of corrections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f3af78f185f141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44cc17a15495c" /><Relationship Type="http://schemas.openxmlformats.org/officeDocument/2006/relationships/footer" Target="/word/footer.xml" Id="Rf3af78f185f141f1" /></Relationships>
</file>