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e54c92f0e462f" /></Relationships>
</file>

<file path=word/document.xml><?xml version="1.0" encoding="utf-8"?>
<w:document xmlns:w="http://schemas.openxmlformats.org/wordprocessingml/2006/main">
  <w:body>
    <w:p>
      <w:r>
        <w:t>H-4639.1</w:t>
      </w:r>
    </w:p>
    <w:p>
      <w:pPr>
        <w:jc w:val="center"/>
      </w:pPr>
      <w:r>
        <w:t>_______________________________________________</w:t>
      </w:r>
    </w:p>
    <w:p/>
    <w:p>
      <w:pPr>
        <w:jc w:val="center"/>
      </w:pPr>
      <w:r>
        <w:rPr>
          <w:b/>
        </w:rPr>
        <w:t>FOURTH SUBSTITUTE HOUSE BILL 1789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Jinkins, Pettigrew, Frame, Stambaugh, Ortiz-Self, Fitzgibbon, Macri, Ormsby, and Gregerson)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(a) Assess the degree to which the sentencing reform act as applied has achieved each of its stated purposes;</w:t>
      </w:r>
    </w:p>
    <w:p>
      <w:pPr>
        <w:spacing w:before="0" w:after="0" w:line="408" w:lineRule="exact"/>
        <w:ind w:left="0" w:right="0" w:firstLine="576"/>
        <w:jc w:val="left"/>
      </w:pPr>
      <w:r>
        <w:rPr/>
        <w:t xml:space="preserve">(b) Ensure Washington sentencing policies and practices are evidence-based, aligned with best practices, and consistent with federal and state case law;</w:t>
      </w:r>
    </w:p>
    <w:p>
      <w:pPr>
        <w:spacing w:before="0" w:after="0" w:line="408" w:lineRule="exact"/>
        <w:ind w:left="0" w:right="0" w:firstLine="576"/>
        <w:jc w:val="left"/>
      </w:pPr>
      <w:r>
        <w:rPr/>
        <w:t xml:space="preserve">(c)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(d) Simplify Washington's sentencing laws to make them easier to understand and apply; and</w:t>
      </w:r>
    </w:p>
    <w:p>
      <w:pPr>
        <w:spacing w:before="0" w:after="0" w:line="408" w:lineRule="exact"/>
        <w:ind w:left="0" w:right="0" w:firstLine="576"/>
        <w:jc w:val="left"/>
      </w:pPr>
      <w:r>
        <w:rPr/>
        <w:t xml:space="preserve">(e) Eliminate inconsistencies, which may have developed through various amendatory changes.</w:t>
      </w:r>
    </w:p>
    <w:p>
      <w:pPr>
        <w:spacing w:before="0" w:after="0" w:line="408" w:lineRule="exact"/>
        <w:ind w:left="0" w:right="0" w:firstLine="576"/>
        <w:jc w:val="left"/>
      </w:pPr>
      <w:r>
        <w:rPr/>
        <w:t xml:space="preserve">(2) In conducting the review under this section, the sentencing guidelines commission shall:</w:t>
      </w:r>
    </w:p>
    <w:p>
      <w:pPr>
        <w:spacing w:before="0" w:after="0" w:line="408" w:lineRule="exact"/>
        <w:ind w:left="0" w:right="0" w:firstLine="576"/>
        <w:jc w:val="left"/>
      </w:pPr>
      <w:r>
        <w:rPr/>
        <w:t xml:space="preserve">(a) Review the current sentencing grid and recommend changes to simplify the grid and increase judicial discretion, which must include, but is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(b)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(c) Review fines, fees, and other legal financial obligations associated with criminal convictions, which must include, but is not limited to, a review of: Fines under RCW 9.94A.550; restitution under RCW 9.94A.750; and legal financial obligations under RCW 9.94A.760;</w:t>
      </w:r>
    </w:p>
    <w:p>
      <w:pPr>
        <w:spacing w:before="0" w:after="0" w:line="408" w:lineRule="exact"/>
        <w:ind w:left="0" w:right="0" w:firstLine="576"/>
        <w:jc w:val="left"/>
      </w:pPr>
      <w:r>
        <w:rPr/>
        <w:t xml:space="preserve">(d) Review community supervision and community custody programs under RCW 9.94A.701 through 9.94A.723 and other related provisions, which must include, but is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(e) Review available alternatives to full confinement, which must include, but is not limited to: Work crew under RCW 9.94A.725; and home detention and electronic home monitoring under RCW 9.94A.734 through 9.94A.736.</w:t>
      </w:r>
    </w:p>
    <w:p>
      <w:pPr>
        <w:spacing w:before="0" w:after="0" w:line="408" w:lineRule="exact"/>
        <w:ind w:left="0" w:right="0" w:firstLine="576"/>
        <w:jc w:val="left"/>
      </w:pPr>
      <w:r>
        <w:rPr/>
        <w:t xml:space="preserve">(3) The sentencing guidelines commission shall report its findings and recommendations to the governor and appropriate committees of the legislature by May 1, 2019.</w:t>
      </w:r>
    </w:p>
    <w:p/>
    <w:p>
      <w:pPr>
        <w:jc w:val="center"/>
      </w:pPr>
      <w:r>
        <w:rPr>
          <w:b/>
        </w:rPr>
        <w:t>--- END ---</w:t>
      </w:r>
    </w:p>
    <w:sectPr>
      <w:pgNumType w:start="1"/>
      <w:footerReference xmlns:r="http://schemas.openxmlformats.org/officeDocument/2006/relationships" r:id="Rf8520d8a9d7646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353797ad64234" /><Relationship Type="http://schemas.openxmlformats.org/officeDocument/2006/relationships/footer" Target="/word/footer.xml" Id="Rf8520d8a9d76468d" /></Relationships>
</file>