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823375bbf491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Pellicciotti, Hudgins, Riccelli, Orwall, Kirby, Macri, Pollet, Appleton, Wylie, Fitzgibbon, Sawyer, Frame, Lovick, Reeves, Slatter, Chapman, Ryu, Kagi, Doglio, Ortiz-Self, McBride, Farrell, Ormsby, and Bergquist)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contributions by creating the Washington state DISCLOSE act of 2017; amending RCW 42.17A.235 and 42.17A.240; reenacting and amending RCW 42.17A.005; adding new sections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2017 or the Washington state DISCLOSE act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w:t>
      </w:r>
    </w:p>
    <w:p>
      <w:pPr>
        <w:spacing w:before="0" w:after="0" w:line="408" w:lineRule="exact"/>
        <w:ind w:left="0" w:right="0" w:firstLine="576"/>
        <w:jc w:val="left"/>
      </w:pPr>
      <w:r>
        <w:rPr>
          <w:u w:val="single"/>
        </w:rPr>
        <w:t xml:space="preserve">(i)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 or</w:t>
      </w:r>
    </w:p>
    <w:p>
      <w:pPr>
        <w:spacing w:before="0" w:after="0" w:line="408" w:lineRule="exact"/>
        <w:ind w:left="0" w:right="0" w:firstLine="576"/>
        <w:jc w:val="left"/>
      </w:pPr>
      <w:r>
        <w:rPr>
          <w:u w:val="single"/>
        </w:rPr>
        <w:t xml:space="preserve">(ii) Any organization that files a lobbyist registration form in Washington state that includes the information required by RCW 42.17A.600(1)(i). The organization must file the registration form electronically when an electronic filing method is available. The organization must update the information required by RCW 42.17A.600(1)(i) within sixty days before any primary, general, or special election if the organization has made or expects to make more than twenty-five thousand dollars in contributions that calendar year and according to the schedule for contribution and expenditure reports under RCW 42.17A.235(2) if there are any changes to the information required by RCW 42.17A.600(1)(i) within thirty days before an election.</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shall provide a link on its web site to a searchable database on the web site of the federal election commission containing information on organizations under section 527 of the internal revenue code of 1986.</w:t>
      </w:r>
    </w:p>
    <w:p>
      <w:pPr>
        <w:spacing w:before="0" w:after="0" w:line="408" w:lineRule="exact"/>
        <w:ind w:left="0" w:right="0" w:firstLine="576"/>
        <w:jc w:val="left"/>
      </w:pPr>
      <w:r>
        <w:rPr/>
        <w:t xml:space="preserve">(2) The commission shall ensure that individual entries in contribution reports published on the commission's web site link to the lobbying disclosure reports of specific contributors, where the contributor has filed a lobbying disclosure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other than in-kind contributions of staff time and office-related equipment, resources, and rent to an affiliated committee, or expenditures of at least twenty-five thousand dollars in a calendar year in any election campaign, or to a political committee or an incidental committee; and</w:t>
      </w:r>
    </w:p>
    <w:p>
      <w:pPr>
        <w:spacing w:before="0" w:after="0" w:line="408" w:lineRule="exact"/>
        <w:ind w:left="0" w:right="0" w:firstLine="576"/>
        <w:jc w:val="left"/>
      </w:pPr>
      <w:r>
        <w:rPr/>
        <w:t xml:space="preserve">(ii) Must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payments it received in the current calendar year from a single person of ten thousand dollars or greater, including any persons tied as the tenth largest source of payments it received, if any, and all aggregate payments it received in the current calendar year from a single person with a value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payment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2017,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payments received, including any persons tied as the tenth largest source of payments received, during the current calendar year, and the value of the aggregate payments received from that person during the current calendar year is ten thousand dollars or greater; or</w:t>
      </w:r>
    </w:p>
    <w:p>
      <w:pPr>
        <w:spacing w:before="0" w:after="0" w:line="408" w:lineRule="exact"/>
        <w:ind w:left="0" w:right="0" w:firstLine="576"/>
        <w:jc w:val="left"/>
      </w:pPr>
      <w:r>
        <w:rPr>
          <w:u w:val="single"/>
        </w:rPr>
        <w:t xml:space="preserve">(ii) The person gave one hundred thousand dollars or more to the incidental committee during the current calendar year; and</w:t>
      </w:r>
    </w:p>
    <w:p>
      <w:pPr>
        <w:spacing w:before="0" w:after="0" w:line="408" w:lineRule="exact"/>
        <w:ind w:left="0" w:right="0" w:firstLine="576"/>
        <w:jc w:val="left"/>
      </w:pPr>
      <w:r>
        <w:rPr>
          <w:u w:val="single"/>
        </w:rPr>
        <w:t xml:space="preserve">(e)</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directly or indirectly in support of or in opposition to any election campaign or to a political or incidental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ffc5ddc6ced48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ef60e5f0b46fa" /><Relationship Type="http://schemas.openxmlformats.org/officeDocument/2006/relationships/footer" Target="/word/footer.xml" Id="Rbffc5ddc6ced48ab" /></Relationships>
</file>