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98e2e9e28448f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Sawyer, Appleton, and Condotta; by request of Liquor and Cannabis Board</w:t>
      </w:r>
    </w:p>
    <w:p/>
    <w:p>
      <w:r>
        <w:rPr>
          <w:t xml:space="preserve">Read first time 02/01/17.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with respect to privileges for research licenses, local authority notifications, the retail licensing merit-based application process, processor wholesale events, and jurisdictional requirements; amending RCW 69.50.331, 69.50.372, and 66.08.100;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w:t>
      </w:r>
      <w:r>
        <w:t>((</w:t>
      </w:r>
      <w:r>
        <w:rPr>
          <w:strike/>
        </w:rPr>
        <w:t xml:space="preserve">(b)</w:t>
      </w:r>
      <w:r>
        <w:t>))</w:t>
      </w:r>
      <w:r>
        <w:rPr/>
        <w:t xml:space="preserve"> </w:t>
      </w:r>
      <w:r>
        <w:rPr>
          <w:u w:val="single"/>
        </w:rPr>
        <w:t xml:space="preserve">(a)(i)</w:t>
      </w:r>
      <w:r>
        <w:rPr/>
        <w:t xml:space="preserve"> through </w:t>
      </w:r>
      <w:r>
        <w:t>((</w:t>
      </w:r>
      <w:r>
        <w:rPr>
          <w:strike/>
        </w:rPr>
        <w:t xml:space="preserve">(d)</w:t>
      </w:r>
      <w:r>
        <w:t>))</w:t>
      </w:r>
      <w:r>
        <w:rPr/>
        <w:t xml:space="preserve"> </w:t>
      </w:r>
      <w:r>
        <w:rPr>
          <w:u w:val="single"/>
        </w:rPr>
        <w:t xml:space="preserve">(ii)</w:t>
      </w:r>
      <w:r>
        <w:rPr/>
        <w:t xml:space="preserve">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t>((</w:t>
      </w:r>
      <w:r>
        <w:rPr>
          <w:strike/>
        </w:rPr>
        <w:t xml:space="preserve">(b)</w:t>
      </w:r>
      <w:r>
        <w:t>))</w:t>
      </w:r>
      <w:r>
        <w:rPr/>
        <w:t xml:space="preserve"> </w:t>
      </w:r>
      <w:r>
        <w:rPr>
          <w:u w:val="single"/>
        </w:rPr>
        <w:t xml:space="preserve">(i)</w:t>
      </w:r>
      <w:r>
        <w:rPr/>
        <w:t xml:space="preserve"> A city, county, or town may permit the licensing of premises within one thousand feet but not less than one hundred feet of the facilities described in </w:t>
      </w:r>
      <w:r>
        <w:t>((</w:t>
      </w:r>
      <w:r>
        <w:rPr>
          <w:strike/>
        </w:rPr>
        <w:t xml:space="preserve">(a) of</w:t>
      </w:r>
      <w:r>
        <w:t>))</w:t>
      </w:r>
      <w:r>
        <w:rPr/>
        <w:t xml:space="preserve">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t>((</w:t>
      </w:r>
      <w:r>
        <w:rPr>
          <w:strike/>
        </w:rPr>
        <w:t xml:space="preserve">(c)</w:t>
      </w:r>
      <w:r>
        <w:t>))</w:t>
      </w:r>
      <w:r>
        <w:rPr/>
        <w:t xml:space="preserve"> </w:t>
      </w:r>
      <w:r>
        <w:rPr>
          <w:u w:val="single"/>
        </w:rPr>
        <w:t xml:space="preserve">(ii)</w:t>
      </w:r>
      <w:r>
        <w:rPr/>
        <w:t xml:space="preserve"> A city, county, or town may permit the licensing of research premises allowed under RCW 69.50.372 within one thousand feet but not less than one hundred feet of the facilities described in </w:t>
      </w:r>
      <w:r>
        <w:t>((</w:t>
      </w:r>
      <w:r>
        <w:rPr>
          <w:strike/>
        </w:rPr>
        <w:t xml:space="preserve">(a) of</w:t>
      </w:r>
      <w:r>
        <w:t>))</w:t>
      </w:r>
      <w:r>
        <w:rPr/>
        <w:t xml:space="preserve">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t>((</w:t>
      </w:r>
      <w:r>
        <w:rPr>
          <w:strike/>
        </w:rPr>
        <w:t xml:space="preserve">(d)</w:t>
      </w:r>
      <w:r>
        <w:t>))</w:t>
      </w:r>
      <w:r>
        <w:rPr/>
        <w:t xml:space="preserve"> </w:t>
      </w:r>
      <w:r>
        <w:rPr>
          <w:u w:val="single"/>
        </w:rPr>
        <w:t xml:space="preserve">(iii)</w:t>
      </w:r>
      <w:r>
        <w:rPr/>
        <w:t xml:space="preserve"> The state liquor and cannabis board may license premises located in compliance with the distance requirements set in an ordinance adopted under </w:t>
      </w:r>
      <w:r>
        <w:t>((</w:t>
      </w:r>
      <w:r>
        <w:rPr>
          <w:strike/>
        </w:rPr>
        <w:t xml:space="preserve">(b) or (c)</w:t>
      </w:r>
      <w:r>
        <w:t>))</w:t>
      </w:r>
      <w:r>
        <w:rPr/>
        <w:t xml:space="preserve"> </w:t>
      </w:r>
      <w:r>
        <w:rPr>
          <w:u w:val="single"/>
        </w:rPr>
        <w:t xml:space="preserve">(a)(i) or (ii)</w:t>
      </w:r>
      <w:r>
        <w:rPr/>
        <w:t xml:space="preserve"> of this subsection. Before issuing or renewing a research license for premises within one thousand feet but not less than one hundred feet of an elementary school, secondary school, or playground in compliance with an ordinance passed pursuant to </w:t>
      </w:r>
      <w:r>
        <w:t>((</w:t>
      </w:r>
      <w:r>
        <w:rPr>
          <w:strike/>
        </w:rPr>
        <w:t xml:space="preserve">(c)</w:t>
      </w:r>
      <w:r>
        <w:t>))</w:t>
      </w:r>
      <w:r>
        <w:rPr/>
        <w:t xml:space="preserve"> </w:t>
      </w:r>
      <w:r>
        <w:rPr>
          <w:u w:val="single"/>
        </w:rPr>
        <w:t xml:space="preserve">(a)(ii)</w:t>
      </w:r>
      <w:r>
        <w:rPr/>
        <w:t xml:space="preserve"> of this subsection, the board must ensure that the facility: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Meets a security standard exceeding that which applies to marijuana producer, processor, or retailer licensees;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inaccessible to the public and no part of the operation of the facility is in view of the general public;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Bears no advertising or signage indicating that it is a marijuana research facility.</w:t>
      </w:r>
    </w:p>
    <w:p>
      <w:pPr>
        <w:spacing w:before="0" w:after="0" w:line="408" w:lineRule="exact"/>
        <w:ind w:left="0" w:right="0" w:firstLine="576"/>
        <w:jc w:val="left"/>
      </w:pPr>
      <w:r>
        <w:rPr>
          <w:u w:val="single"/>
        </w:rPr>
        <w:t xml:space="preserve">(b) The state liquor and cannabis board may not issue a license for any premises within Indian country, as defined in RCW 82.24.010, including any federal fee patent lands within the exterior boundaries of a reservation, unless incorporated into an agreement with a federally recognized tribe, pursuant to RCW 43.06.490.</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
      <w:pPr>
        <w:jc w:val="center"/>
      </w:pPr>
      <w:r>
        <w:rPr>
          <w:b/>
        </w:rPr>
        <w:t>--- END ---</w:t>
      </w:r>
    </w:p>
    <w:sectPr>
      <w:pgNumType w:start="1"/>
      <w:footerReference xmlns:r="http://schemas.openxmlformats.org/officeDocument/2006/relationships" r:id="R7ece089f16da4b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afa199c1a4c39" /><Relationship Type="http://schemas.openxmlformats.org/officeDocument/2006/relationships/footer" Target="/word/footer.xml" Id="R7ece089f16da4be0" /></Relationships>
</file>