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7c8ca365e4ed4" /></Relationships>
</file>

<file path=word/document.xml><?xml version="1.0" encoding="utf-8"?>
<w:document xmlns:w="http://schemas.openxmlformats.org/wordprocessingml/2006/main">
  <w:body>
    <w:p>
      <w:r>
        <w:t>H-1443.1</w:t>
      </w:r>
    </w:p>
    <w:p>
      <w:pPr>
        <w:jc w:val="center"/>
      </w:pPr>
      <w:r>
        <w:t>_______________________________________________</w:t>
      </w:r>
    </w:p>
    <w:p/>
    <w:p>
      <w:pPr>
        <w:jc w:val="center"/>
      </w:pPr>
      <w:r>
        <w:rPr>
          <w:b/>
        </w:rPr>
        <w:t>HOUSE BILL 1934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Haler</w:t>
      </w:r>
    </w:p>
    <w:p/>
    <w:p>
      <w:r>
        <w:rPr>
          <w:t xml:space="preserve">Read first time 02/03/17.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and 29A.76.010; adding a new section to chapter 35.21 RCW; adding a new section to chapter 35A.21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the legislature intends that courts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or town, but does not include the state.</w:t>
      </w:r>
    </w:p>
    <w:p>
      <w:pPr>
        <w:spacing w:before="0" w:after="0" w:line="408" w:lineRule="exact"/>
        <w:ind w:left="0" w:right="0" w:firstLine="576"/>
        <w:jc w:val="left"/>
      </w:pPr>
      <w:r>
        <w:rPr/>
        <w:t xml:space="preserve">(6)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w:t>
      </w:r>
    </w:p>
    <w:p>
      <w:pPr>
        <w:spacing w:before="0" w:after="0" w:line="408" w:lineRule="exact"/>
        <w:ind w:left="0" w:right="0" w:firstLine="576"/>
        <w:jc w:val="left"/>
      </w:pPr>
      <w:r>
        <w:rPr/>
        <w:t xml:space="preserve">(a) It established by prima facie evidence that elections in the political subdivision exhibit polarized voting;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may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Members of different protected classes may file an action jointly pursuant to this act if they demonstrate that their combined voting preferences as a group are different from the rest of the electorate.</w:t>
      </w:r>
    </w:p>
    <w:p>
      <w:pPr>
        <w:spacing w:before="0" w:after="0" w:line="408" w:lineRule="exact"/>
        <w:ind w:left="0" w:right="0" w:firstLine="576"/>
        <w:jc w:val="left"/>
      </w:pPr>
      <w:r>
        <w:rPr/>
        <w:t xml:space="preserve">(4)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may also consider whether the proportion of elected officials serving on the political subdivision's legislative body who are members of the protected class is equivalent to the proportion of the population who are members of the protected class.</w:t>
      </w:r>
    </w:p>
    <w:p>
      <w:pPr>
        <w:spacing w:before="0" w:after="0" w:line="408" w:lineRule="exact"/>
        <w:ind w:left="0" w:right="0" w:firstLine="576"/>
        <w:jc w:val="left"/>
      </w:pPr>
      <w:r>
        <w:rPr/>
        <w:t xml:space="preserve">(5) The election of candidates who are members of a protected class and who were elected prior to the filing of an action pursuant to this chapter shall not preclude a finding of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(3) For purposes of any applicable statute of limitations, a cause of action under this act arises every time there is an election pursuant to an at-large election or a district-based election.</w:t>
      </w:r>
    </w:p>
    <w:p>
      <w:pPr>
        <w:spacing w:before="0" w:after="0" w:line="408" w:lineRule="exact"/>
        <w:ind w:left="0" w:right="0" w:firstLine="576"/>
        <w:jc w:val="left"/>
      </w:pPr>
      <w:r>
        <w:rPr/>
        <w:t xml:space="preserve">(4)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(5)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(6) No action may be filed pursuant to this act before January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in the political subdivision. This requirement shall not apply to any positions allocated on an at-large basis.</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may, at the legislative authority's discretion, be subject to new elections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6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3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or parties reasonable attorneys' fees, all nonattorney fee costs as defined in RCW 4.84.010, and all reasonable expert witness fees. No fees or costs may be awarded if no action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twelve months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The notice shall also include a reasonable analysis of the person's data concerning the alleged vote dilution and racially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(3)(a) The person bringing the notice and the political subdivision shall work in good faith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(b) During the twelve months prior to an action being filed in state court, the political subdivision shall work collaboratively with the person bringing the notice to implement a solution that provides a remedy for all parties without resorting to litigation. At a minimum, representatives of the political subdivision must facilitate and participate in meetings with the person or persons at least once per month to address identified concerns and work towards a solution.</w:t>
      </w:r>
    </w:p>
    <w:p>
      <w:pPr>
        <w:spacing w:before="0" w:after="0" w:line="408" w:lineRule="exact"/>
        <w:ind w:left="0" w:right="0" w:firstLine="576"/>
        <w:jc w:val="left"/>
      </w:pPr>
      <w:r>
        <w:rPr/>
        <w:t xml:space="preserve">(c) If, after twelve months have passed from the date of the person first providing notice and no mutually agreed solution has been reached, the person or persons may file an action in state court pursuant to this chapter. If, within twelve months after receiving a person's notice, a political subdivision receives another notice containing a materially different proposed remedy than the first notice, the political subdivision shall have an additional three months from the date of the subsequent notice before an action may be filed under this act.</w:t>
      </w:r>
    </w:p>
    <w:p>
      <w:pPr>
        <w:spacing w:before="0" w:after="0" w:line="408" w:lineRule="exact"/>
        <w:ind w:left="0" w:right="0" w:firstLine="576"/>
        <w:jc w:val="left"/>
      </w:pPr>
      <w:r>
        <w:rPr/>
        <w:t xml:space="preserve">(d) Nothing in this section is intended to limit the ability of a party to initiate, pursue, or defend against a claim made pursuant to the federal voting rights act.</w:t>
      </w:r>
    </w:p>
    <w:p>
      <w:pPr>
        <w:spacing w:before="0" w:after="0" w:line="408" w:lineRule="exact"/>
        <w:ind w:left="0" w:right="0" w:firstLine="576"/>
        <w:jc w:val="left"/>
      </w:pPr>
      <w:r>
        <w:rPr/>
        <w:t xml:space="preserve">(4)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(5)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If a political subdivision has received two or more notices containing materially different proposed remedies, the persons and political subdivision shall work in good faith to implement a remedy that complies with section 3 of this act.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An individual who has filed an unsuccessful action against a political subdivision under the federal voting rights act may not file a separate action against the same political subdivision under this act within two years of filing the action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thirty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17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093bb451dc2542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1bcef9e114ff2" /><Relationship Type="http://schemas.openxmlformats.org/officeDocument/2006/relationships/footer" Target="/word/footer.xml" Id="R093bb451dc2542e7" /></Relationships>
</file>