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48e2ec308d4c98" /></Relationships>
</file>

<file path=word/document.xml><?xml version="1.0" encoding="utf-8"?>
<w:document xmlns:w="http://schemas.openxmlformats.org/wordprocessingml/2006/main">
  <w:body>
    <w:p>
      <w:r>
        <w:t>H-1434.1</w:t>
      </w:r>
    </w:p>
    <w:p>
      <w:pPr>
        <w:jc w:val="center"/>
      </w:pPr>
      <w:r>
        <w:t>_______________________________________________</w:t>
      </w:r>
    </w:p>
    <w:p/>
    <w:p>
      <w:pPr>
        <w:jc w:val="center"/>
      </w:pPr>
      <w:r>
        <w:rPr>
          <w:b/>
        </w:rPr>
        <w:t>HOUSE BILL 1940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Orcutt, Springer, Klippert, Lovick, Orwall, Appleton, Hayes, Hargrove, Muri, Pollet, and Ormsby</w:t>
      </w:r>
    </w:p>
    <w:p/>
    <w:p>
      <w:r>
        <w:rPr>
          <w:t xml:space="preserve">Read first time 02/03/17.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proof of financial responsibility before the issuance of vehicle registrations; amending RCW 46.16A.130, 46.16A.110, 46.16A.040, and 46.30.040;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130</w:t>
      </w:r>
      <w:r>
        <w:rPr/>
        <w:t xml:space="preserve"> and 2010 c 161 s 429 are each amended to read as follows:</w:t>
      </w:r>
    </w:p>
    <w:p>
      <w:pPr>
        <w:spacing w:before="0" w:after="0" w:line="408" w:lineRule="exact"/>
        <w:ind w:left="0" w:right="0" w:firstLine="576"/>
        <w:jc w:val="left"/>
      </w:pPr>
      <w:r>
        <w:rPr>
          <w:u w:val="single"/>
        </w:rPr>
        <w:t xml:space="preserve">(1)</w:t>
      </w:r>
      <w:r>
        <w:rPr/>
        <w:t xml:space="preserve"> The department shall notify motor vehicle owners</w:t>
      </w:r>
      <w:r>
        <w:rPr>
          <w:u w:val="single"/>
        </w:rPr>
        <w:t xml:space="preserve">, in paper or electronic form,</w:t>
      </w:r>
      <w:r>
        <w:rPr/>
        <w:t xml:space="preserve"> of the liability insurance requirements described in RCW </w:t>
      </w:r>
      <w:r>
        <w:rPr>
          <w:u w:val="single"/>
        </w:rPr>
        <w:t xml:space="preserve">46.16A.110, 46.16A.040, and</w:t>
      </w:r>
      <w:r>
        <w:rPr/>
        <w:t xml:space="preserve"> 46.30.020 through 46.30.040 at the time of issuance of an original motor vehicle registration and when the department sends a motor vehicle registration renewal notice.</w:t>
      </w:r>
    </w:p>
    <w:p>
      <w:pPr>
        <w:spacing w:before="0" w:after="0" w:line="408" w:lineRule="exact"/>
        <w:ind w:left="0" w:right="0" w:firstLine="576"/>
        <w:jc w:val="left"/>
      </w:pPr>
      <w:r>
        <w:rPr>
          <w:u w:val="single"/>
        </w:rPr>
        <w:t xml:space="preserve">(2) The department must not issue an original vehicle registration on or after July 1, 2018, or a renewal vehicle registration due on or after July 1, 2018, unless the applicant attests to having, and provides proof of meeting, the financial responsibility requirements for operating a motor vehicle as provided in RCW 46.30.020</w:t>
      </w:r>
      <w:r>
        <w:rPr>
          <w:u w:val="single"/>
        </w:rPr>
        <w:t xml:space="preserve"> through 46.30.040.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 </w:t>
      </w:r>
      <w:r>
        <w:rPr>
          <w:u w:val="single"/>
        </w:rPr>
        <w:t xml:space="preserve">On or after July 1, 2018, the application, either in paper or electronic form, must include a field designating the applicant's liability insurance policy information.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 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w:t>
      </w:r>
      <w:r>
        <w:rPr>
          <w:u w:val="single"/>
        </w:rPr>
        <w:t xml:space="preserve">The department must reimburse its agents, including county auditors, for the costs associated with returning vehicle registration renewal applications that are submitted without proof of financial responsibility as required in subsection (1) of this section.</w:t>
      </w:r>
    </w:p>
    <w:p>
      <w:pPr>
        <w:spacing w:before="0" w:after="0" w:line="408" w:lineRule="exact"/>
        <w:ind w:left="0" w:right="0" w:firstLine="576"/>
        <w:jc w:val="left"/>
      </w:pPr>
      <w:r>
        <w:rPr>
          <w:u w:val="single"/>
        </w:rPr>
        <w:t xml:space="preserve">(6)</w:t>
      </w:r>
      <w:r>
        <w:rPr/>
        <w:t xml:space="preserve">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2010 c 161 s 413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w:t>
      </w:r>
      <w:r>
        <w:rPr>
          <w:u w:val="single"/>
        </w:rPr>
        <w:t xml:space="preserve">Current proof of financial responsibility for the owner to operate a vehicle as required in RCW 46.30.020. The application, either in paper or electronic form, must also include a field designating the applicant's liability insurance policy information;</w:t>
      </w:r>
    </w:p>
    <w:p>
      <w:pPr>
        <w:spacing w:before="0" w:after="0" w:line="408" w:lineRule="exact"/>
        <w:ind w:left="0" w:right="0" w:firstLine="576"/>
        <w:jc w:val="left"/>
      </w:pPr>
      <w:r>
        <w:rPr>
          <w:u w:val="single"/>
        </w:rPr>
        <w:t xml:space="preserve">(d)</w:t>
      </w:r>
      <w:r>
        <w:rPr/>
        <w:t xml:space="preserve"> The purpose for which the vehicle is to be used;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empty scale weight of the vehicle;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u w:val="single"/>
        </w:rPr>
        <w:t xml:space="preserve">(4) The department must reimburse its agents, including county auditors, for the costs associated with returning original vehicle registration applications that are submitted without proof of financial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040</w:t>
      </w:r>
      <w:r>
        <w:rPr/>
        <w:t xml:space="preserve"> and 1991 sp.s. c 25 s 2 are each amended to read as follows:</w:t>
      </w:r>
    </w:p>
    <w:p>
      <w:pPr>
        <w:spacing w:before="0" w:after="0" w:line="408" w:lineRule="exact"/>
        <w:ind w:left="0" w:right="0" w:firstLine="576"/>
        <w:jc w:val="left"/>
      </w:pPr>
      <w:r>
        <w:rPr/>
        <w:t xml:space="preserve">Any person who knowingly provides false evidence of financial responsibility to a law enforcement officer </w:t>
      </w:r>
      <w:r>
        <w:t>((</w:t>
      </w:r>
      <w:r>
        <w:rPr>
          <w:strike/>
        </w:rPr>
        <w:t xml:space="preserve">or</w:t>
      </w:r>
      <w:r>
        <w:t>))</w:t>
      </w:r>
      <w:r>
        <w:rPr>
          <w:u w:val="single"/>
        </w:rPr>
        <w:t xml:space="preserve">,</w:t>
      </w:r>
      <w:r>
        <w:rPr/>
        <w:t xml:space="preserve"> to a court, </w:t>
      </w:r>
      <w:r>
        <w:rPr>
          <w:u w:val="single"/>
        </w:rPr>
        <w:t xml:space="preserve">or to the department on an application for an original vehicle registration or a renewal vehicle registration,</w:t>
      </w:r>
      <w:r>
        <w:rPr/>
        <w:t xml:space="preserve"> including an expired or canceled insurance policy, bond, or certificate of deposit</w:t>
      </w:r>
      <w:r>
        <w:rPr>
          <w:u w:val="single"/>
        </w:rPr>
        <w:t xml:space="preserve">,</w:t>
      </w:r>
      <w:r>
        <w:rPr/>
        <w:t xml:space="preserve">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c34dbb60358c4c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e266c156548bd" /><Relationship Type="http://schemas.openxmlformats.org/officeDocument/2006/relationships/footer" Target="/word/footer.xml" Id="Rc34dbb60358c4c74" /></Relationships>
</file>