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9e64aac2094f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Young, Rodne, and Stanford</w:t>
      </w:r>
    </w:p>
    <w:p/>
    <w:p>
      <w:r>
        <w:rPr>
          <w:t xml:space="preserve">Read first time 02/06/17.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property taxes imposed on less than a whole parcel; amending RCW 81.104.175; adding a new section to chapter 84.56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Property taxes imposed under this section may not be imposed on less than a whole parcel.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county treasurer must waive interest and penalties for delinquencies on property taxes imposed by a regional transit authority under RCW 81.104.175 and collected before June 30, 2017, if the property is exempted from such tax under this act.</w:t>
      </w:r>
    </w:p>
    <w:p>
      <w:pPr>
        <w:spacing w:before="0" w:after="0" w:line="408" w:lineRule="exact"/>
        <w:ind w:left="0" w:right="0" w:firstLine="576"/>
        <w:jc w:val="left"/>
      </w:pPr>
      <w:r>
        <w:rPr/>
        <w:t xml:space="preserve">(2) This section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November 1, 2016, as well as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45c19bea88247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4484a61d14fd2" /><Relationship Type="http://schemas.openxmlformats.org/officeDocument/2006/relationships/footer" Target="/word/footer.xml" Id="R245c19bea88247b5" /></Relationships>
</file>